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0114" w:rsidRDefault="001111DB">
      <w:pPr>
        <w:spacing w:after="0" w:line="240" w:lineRule="auto"/>
        <w:ind w:right="-630"/>
        <w:jc w:val="center"/>
        <w:rPr>
          <w:rFonts w:ascii="Garamond" w:hAnsi="Garamond"/>
          <w:b/>
          <w:sz w:val="24"/>
          <w:szCs w:val="24"/>
        </w:rPr>
      </w:pPr>
      <w:bookmarkStart w:id="0" w:name="_GoBack"/>
      <w:bookmarkEnd w:id="0"/>
      <w:r>
        <w:rPr>
          <w:rFonts w:ascii="Garamond" w:eastAsia="Times New Roman" w:hAnsi="Garamond"/>
          <w:noProof/>
          <w:sz w:val="24"/>
          <w:szCs w:val="24"/>
        </w:rPr>
        <w:drawing>
          <wp:inline distT="0" distB="0" distL="0" distR="0">
            <wp:extent cx="1581150" cy="1076325"/>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81150" cy="1076325"/>
                    </a:xfrm>
                    <a:prstGeom prst="rect">
                      <a:avLst/>
                    </a:prstGeom>
                    <a:noFill/>
                    <a:ln>
                      <a:noFill/>
                    </a:ln>
                  </pic:spPr>
                </pic:pic>
              </a:graphicData>
            </a:graphic>
          </wp:inline>
        </w:drawing>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RIARA LAW SCHOOL</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UNIVERSITY EXAMINATION FOR BACHELOR OF LAWS (LLB) DEGREE</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AND</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PRE-KENYA SCHOOL OF LAW CORE COURSES COMPLIANCE PROGRAM</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JANUARY- MAY 2025</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lang w:val="en-SG"/>
        </w:rPr>
        <w:t>RLLB 212</w:t>
      </w:r>
      <w:r>
        <w:rPr>
          <w:rFonts w:ascii="Garamond" w:eastAsia="Times New Roman" w:hAnsi="Garamond"/>
          <w:b/>
          <w:bCs/>
          <w:sz w:val="24"/>
          <w:szCs w:val="24"/>
        </w:rPr>
        <w:t>: PROPERTY LAW</w:t>
      </w:r>
    </w:p>
    <w:p w:rsidR="00520114" w:rsidRDefault="001111DB">
      <w:pPr>
        <w:keepNext/>
        <w:keepLines/>
        <w:spacing w:after="0" w:line="240" w:lineRule="auto"/>
        <w:jc w:val="center"/>
        <w:outlineLvl w:val="0"/>
        <w:rPr>
          <w:rFonts w:ascii="Garamond" w:eastAsia="Times New Roman" w:hAnsi="Garamond"/>
          <w:b/>
          <w:bCs/>
          <w:sz w:val="24"/>
          <w:szCs w:val="24"/>
        </w:rPr>
      </w:pPr>
      <w:r>
        <w:rPr>
          <w:rFonts w:ascii="Garamond" w:eastAsia="Times New Roman" w:hAnsi="Garamond"/>
          <w:b/>
          <w:bCs/>
          <w:sz w:val="24"/>
          <w:szCs w:val="24"/>
        </w:rPr>
        <w:t>INSTRUCTOR: Ms. MILCAH KITHINJI</w:t>
      </w:r>
    </w:p>
    <w:p w:rsidR="00520114" w:rsidRDefault="00520114">
      <w:pPr>
        <w:keepNext/>
        <w:keepLines/>
        <w:spacing w:after="0" w:line="240" w:lineRule="auto"/>
        <w:jc w:val="center"/>
        <w:outlineLvl w:val="0"/>
        <w:rPr>
          <w:rFonts w:ascii="Garamond" w:eastAsia="Times New Roman" w:hAnsi="Garamond"/>
          <w:b/>
          <w:bCs/>
          <w:sz w:val="24"/>
          <w:szCs w:val="24"/>
        </w:rPr>
      </w:pPr>
    </w:p>
    <w:p w:rsidR="00520114" w:rsidRDefault="001111DB">
      <w:pPr>
        <w:spacing w:after="0" w:line="240" w:lineRule="auto"/>
        <w:jc w:val="both"/>
        <w:rPr>
          <w:rFonts w:ascii="Garamond" w:eastAsia="Times New Roman" w:hAnsi="Garamond"/>
          <w:sz w:val="24"/>
          <w:szCs w:val="24"/>
        </w:rPr>
      </w:pPr>
      <w:r>
        <w:rPr>
          <w:rFonts w:ascii="Garamond" w:eastAsia="Times New Roman" w:hAnsi="Garamond"/>
          <w:b/>
          <w:sz w:val="24"/>
          <w:szCs w:val="24"/>
          <w:u w:val="single"/>
        </w:rPr>
        <w:t>INSTRUCTIONS</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This is the final examination in</w:t>
      </w:r>
      <w:r>
        <w:rPr>
          <w:rFonts w:ascii="Garamond" w:eastAsia="Times New Roman" w:hAnsi="Garamond"/>
          <w:sz w:val="24"/>
          <w:szCs w:val="24"/>
        </w:rPr>
        <w:t xml:space="preserve"> Property Law.  You will earn 70% of your final grade from this final examination and 30% from Continuous Assessment Assignments.</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 xml:space="preserve">This examination has </w:t>
      </w:r>
      <w:r>
        <w:rPr>
          <w:rFonts w:ascii="Garamond" w:eastAsia="Times New Roman" w:hAnsi="Garamond"/>
          <w:b/>
          <w:sz w:val="24"/>
          <w:szCs w:val="24"/>
          <w:u w:val="single"/>
        </w:rPr>
        <w:t>FIVE</w:t>
      </w:r>
      <w:r>
        <w:rPr>
          <w:rFonts w:ascii="Garamond" w:eastAsia="Times New Roman" w:hAnsi="Garamond"/>
          <w:b/>
          <w:sz w:val="24"/>
          <w:szCs w:val="24"/>
        </w:rPr>
        <w:t xml:space="preserve"> </w:t>
      </w:r>
      <w:r>
        <w:rPr>
          <w:rFonts w:ascii="Garamond" w:eastAsia="Times New Roman" w:hAnsi="Garamond"/>
          <w:sz w:val="24"/>
          <w:szCs w:val="24"/>
        </w:rPr>
        <w:t xml:space="preserve">questions.  Answer Question One and </w:t>
      </w:r>
      <w:r>
        <w:rPr>
          <w:rFonts w:ascii="Garamond" w:eastAsia="Times New Roman" w:hAnsi="Garamond"/>
          <w:b/>
          <w:sz w:val="24"/>
          <w:szCs w:val="24"/>
          <w:u w:val="single"/>
        </w:rPr>
        <w:t>any other two questions from section B</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This examination has 4 pa</w:t>
      </w:r>
      <w:r>
        <w:rPr>
          <w:rFonts w:ascii="Garamond" w:eastAsia="Times New Roman" w:hAnsi="Garamond"/>
          <w:sz w:val="24"/>
          <w:szCs w:val="24"/>
        </w:rPr>
        <w:t>ges, including this one.</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 xml:space="preserve">Time allocated for this examination is </w:t>
      </w:r>
      <w:r>
        <w:rPr>
          <w:rFonts w:ascii="Garamond" w:eastAsia="Times New Roman" w:hAnsi="Garamond"/>
          <w:b/>
          <w:sz w:val="24"/>
          <w:szCs w:val="24"/>
          <w:u w:val="single"/>
        </w:rPr>
        <w:t xml:space="preserve">TWO </w:t>
      </w:r>
      <w:r>
        <w:rPr>
          <w:rFonts w:ascii="Garamond" w:eastAsia="Times New Roman" w:hAnsi="Garamond"/>
          <w:sz w:val="24"/>
          <w:szCs w:val="24"/>
        </w:rPr>
        <w:t>(2) hours.  You must stop writing when time is called.</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Please sign the roll sheet when you turn in your answer sheet.  If you fail to sign the roll sheet, we shall have no way of establish</w:t>
      </w:r>
      <w:r>
        <w:rPr>
          <w:rFonts w:ascii="Garamond" w:eastAsia="Times New Roman" w:hAnsi="Garamond"/>
          <w:sz w:val="24"/>
          <w:szCs w:val="24"/>
        </w:rPr>
        <w:t>ing that you sat for this examination and your marks will not be reported.</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 xml:space="preserve">This is a </w:t>
      </w:r>
      <w:r>
        <w:rPr>
          <w:rFonts w:ascii="Garamond" w:eastAsia="Times New Roman" w:hAnsi="Garamond"/>
          <w:b/>
          <w:sz w:val="24"/>
          <w:szCs w:val="24"/>
          <w:u w:val="single"/>
        </w:rPr>
        <w:t>CLOSED BOOK</w:t>
      </w:r>
      <w:r>
        <w:rPr>
          <w:rFonts w:ascii="Garamond" w:eastAsia="Times New Roman" w:hAnsi="Garamond"/>
          <w:sz w:val="24"/>
          <w:szCs w:val="24"/>
        </w:rPr>
        <w:t xml:space="preserve"> examination.  This means you are not permitted to bring ANY hard or soft materials to the examination room.  You are also not allowed to access materials store</w:t>
      </w:r>
      <w:r>
        <w:rPr>
          <w:rFonts w:ascii="Garamond" w:eastAsia="Times New Roman" w:hAnsi="Garamond"/>
          <w:sz w:val="24"/>
          <w:szCs w:val="24"/>
        </w:rPr>
        <w:t>d in computers, electronic gadgets or the internet.  You should not bring to the examination room any of the following: cell phones, tablets, computers, statutes, notes, outlines, or books.  Neither should you bring to the examination room books or materia</w:t>
      </w:r>
      <w:r>
        <w:rPr>
          <w:rFonts w:ascii="Garamond" w:eastAsia="Times New Roman" w:hAnsi="Garamond"/>
          <w:sz w:val="24"/>
          <w:szCs w:val="24"/>
        </w:rPr>
        <w:t>ls unrelated to this course.  If you need to have medicine or food items with you, please let the invigilator know before the examination begins.</w:t>
      </w:r>
    </w:p>
    <w:p w:rsidR="00520114" w:rsidRDefault="001111DB">
      <w:pPr>
        <w:numPr>
          <w:ilvl w:val="0"/>
          <w:numId w:val="1"/>
        </w:numPr>
        <w:spacing w:after="120" w:line="259" w:lineRule="auto"/>
        <w:contextualSpacing/>
        <w:jc w:val="both"/>
        <w:rPr>
          <w:rFonts w:ascii="Garamond" w:eastAsia="Times New Roman" w:hAnsi="Garamond"/>
          <w:sz w:val="24"/>
          <w:szCs w:val="24"/>
        </w:rPr>
      </w:pPr>
      <w:r>
        <w:rPr>
          <w:rFonts w:ascii="Garamond" w:eastAsia="Times New Roman" w:hAnsi="Garamond"/>
          <w:sz w:val="24"/>
          <w:szCs w:val="24"/>
        </w:rPr>
        <w:t xml:space="preserve">This examination is governed by </w:t>
      </w:r>
      <w:r>
        <w:rPr>
          <w:rFonts w:ascii="Garamond" w:eastAsia="Times New Roman" w:hAnsi="Garamond"/>
          <w:b/>
          <w:sz w:val="24"/>
          <w:szCs w:val="24"/>
          <w:u w:val="single"/>
        </w:rPr>
        <w:t>Riara University Academic Honesty Regulations</w:t>
      </w:r>
      <w:r>
        <w:rPr>
          <w:rFonts w:ascii="Garamond" w:eastAsia="Times New Roman" w:hAnsi="Garamond"/>
          <w:sz w:val="24"/>
          <w:szCs w:val="24"/>
        </w:rPr>
        <w:t>.  Students who violate those reg</w:t>
      </w:r>
      <w:r>
        <w:rPr>
          <w:rFonts w:ascii="Garamond" w:eastAsia="Times New Roman" w:hAnsi="Garamond"/>
          <w:sz w:val="24"/>
          <w:szCs w:val="24"/>
        </w:rPr>
        <w:t>ulations will be penalized.  Students have an obligation to report to the invigilator any incidences of academic dishonesty compromising the integrity of this examination.</w:t>
      </w:r>
    </w:p>
    <w:p w:rsidR="00520114" w:rsidRDefault="00520114">
      <w:pPr>
        <w:spacing w:line="360" w:lineRule="auto"/>
        <w:jc w:val="both"/>
        <w:rPr>
          <w:rFonts w:ascii="Garamond" w:hAnsi="Garamond"/>
          <w:b/>
          <w:sz w:val="24"/>
          <w:szCs w:val="24"/>
        </w:rPr>
      </w:pPr>
    </w:p>
    <w:p w:rsidR="00520114" w:rsidRDefault="00520114">
      <w:pPr>
        <w:spacing w:line="360" w:lineRule="auto"/>
        <w:jc w:val="both"/>
        <w:rPr>
          <w:rFonts w:ascii="Garamond" w:hAnsi="Garamond"/>
          <w:b/>
          <w:sz w:val="24"/>
          <w:szCs w:val="24"/>
        </w:rPr>
      </w:pPr>
    </w:p>
    <w:p w:rsidR="00520114" w:rsidRDefault="00520114">
      <w:pPr>
        <w:spacing w:line="360" w:lineRule="auto"/>
        <w:jc w:val="both"/>
        <w:rPr>
          <w:rFonts w:ascii="Garamond" w:hAnsi="Garamond"/>
          <w:b/>
          <w:sz w:val="24"/>
          <w:szCs w:val="24"/>
        </w:rPr>
      </w:pPr>
    </w:p>
    <w:p w:rsidR="00520114" w:rsidRDefault="00520114">
      <w:pPr>
        <w:spacing w:line="360" w:lineRule="auto"/>
        <w:jc w:val="both"/>
        <w:rPr>
          <w:rFonts w:ascii="Garamond" w:hAnsi="Garamond"/>
          <w:b/>
          <w:sz w:val="24"/>
          <w:szCs w:val="24"/>
        </w:rPr>
      </w:pPr>
    </w:p>
    <w:p w:rsidR="00520114" w:rsidRDefault="00520114">
      <w:pPr>
        <w:spacing w:line="360" w:lineRule="auto"/>
        <w:jc w:val="both"/>
        <w:rPr>
          <w:rFonts w:ascii="Garamond" w:hAnsi="Garamond"/>
          <w:b/>
          <w:sz w:val="24"/>
          <w:szCs w:val="24"/>
        </w:rPr>
      </w:pPr>
    </w:p>
    <w:p w:rsidR="00520114" w:rsidRDefault="001111DB">
      <w:pPr>
        <w:spacing w:line="360" w:lineRule="auto"/>
        <w:jc w:val="both"/>
        <w:rPr>
          <w:rFonts w:ascii="Garamond" w:hAnsi="Garamond"/>
          <w:b/>
          <w:sz w:val="24"/>
          <w:szCs w:val="24"/>
        </w:rPr>
      </w:pPr>
      <w:r>
        <w:rPr>
          <w:rFonts w:ascii="Garamond" w:hAnsi="Garamond"/>
          <w:b/>
          <w:sz w:val="24"/>
          <w:szCs w:val="24"/>
        </w:rPr>
        <w:lastRenderedPageBreak/>
        <w:t>SECTION A: (Compulsory) TOTAL MARKS FOR THIS SECTION IS 30.</w:t>
      </w:r>
      <w:r>
        <w:rPr>
          <w:rFonts w:ascii="Garamond" w:hAnsi="Garamond"/>
          <w:sz w:val="24"/>
          <w:szCs w:val="24"/>
        </w:rPr>
        <w:tab/>
      </w:r>
    </w:p>
    <w:p w:rsidR="00520114" w:rsidRDefault="001111DB">
      <w:pPr>
        <w:spacing w:line="360" w:lineRule="auto"/>
        <w:jc w:val="both"/>
        <w:rPr>
          <w:rFonts w:ascii="Garamond" w:hAnsi="Garamond"/>
          <w:b/>
          <w:sz w:val="24"/>
          <w:szCs w:val="24"/>
          <w:u w:val="single"/>
        </w:rPr>
      </w:pPr>
      <w:r>
        <w:rPr>
          <w:rFonts w:ascii="Garamond" w:hAnsi="Garamond"/>
          <w:b/>
          <w:sz w:val="24"/>
          <w:szCs w:val="24"/>
        </w:rPr>
        <w:t xml:space="preserve">Question One </w:t>
      </w:r>
      <w:r>
        <w:rPr>
          <w:rFonts w:ascii="Garamond" w:hAnsi="Garamond"/>
          <w:b/>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t xml:space="preserve">     </w:t>
      </w:r>
      <w:r>
        <w:rPr>
          <w:rFonts w:ascii="Garamond" w:hAnsi="Garamond"/>
          <w:b/>
          <w:sz w:val="24"/>
          <w:szCs w:val="24"/>
        </w:rPr>
        <w:t>(30 marks)</w:t>
      </w:r>
    </w:p>
    <w:p w:rsidR="00520114" w:rsidRDefault="001111DB">
      <w:pPr>
        <w:jc w:val="both"/>
        <w:rPr>
          <w:rFonts w:ascii="Garamond" w:hAnsi="Garamond"/>
          <w:sz w:val="24"/>
          <w:szCs w:val="24"/>
          <w:lang w:val="zh-CN"/>
        </w:rPr>
      </w:pPr>
      <w:r>
        <w:rPr>
          <w:rFonts w:ascii="Garamond" w:hAnsi="Garamond"/>
          <w:sz w:val="24"/>
          <w:szCs w:val="24"/>
          <w:lang w:val="zh-CN"/>
        </w:rPr>
        <w:t>On April 18, 2023, the 1</w:t>
      </w:r>
      <w:r>
        <w:rPr>
          <w:rFonts w:ascii="Garamond" w:hAnsi="Garamond"/>
          <w:sz w:val="24"/>
          <w:szCs w:val="24"/>
          <w:vertAlign w:val="superscript"/>
          <w:lang w:val="zh-CN"/>
        </w:rPr>
        <w:t>st</w:t>
      </w:r>
      <w:r>
        <w:rPr>
          <w:rFonts w:ascii="Garamond" w:hAnsi="Garamond"/>
          <w:sz w:val="24"/>
          <w:szCs w:val="24"/>
          <w:lang w:val="zh-CN"/>
        </w:rPr>
        <w:t> Respondent (Nairobi City County) through the County Executive Committee resolved that Nairobi City County Government title deeds for the Urban Renewal Projects sites including Pangani Estate Project site be de</w:t>
      </w:r>
      <w:r>
        <w:rPr>
          <w:rFonts w:ascii="Garamond" w:hAnsi="Garamond"/>
          <w:sz w:val="24"/>
          <w:szCs w:val="24"/>
          <w:lang w:val="zh-CN"/>
        </w:rPr>
        <w:t>posited with financial institutions to act as simple non-collateral deposits in order to enable the joint venture development partners to raise funds for implementation of the projects. The petitioner argued that the actions of the 2</w:t>
      </w:r>
      <w:r>
        <w:rPr>
          <w:rFonts w:ascii="Garamond" w:hAnsi="Garamond"/>
          <w:sz w:val="24"/>
          <w:szCs w:val="24"/>
          <w:vertAlign w:val="superscript"/>
          <w:lang w:val="zh-CN"/>
        </w:rPr>
        <w:t>nd</w:t>
      </w:r>
      <w:r>
        <w:rPr>
          <w:rFonts w:ascii="Garamond" w:hAnsi="Garamond"/>
          <w:sz w:val="24"/>
          <w:szCs w:val="24"/>
          <w:lang w:val="zh-CN"/>
        </w:rPr>
        <w:t> respondent (County A</w:t>
      </w:r>
      <w:r>
        <w:rPr>
          <w:rFonts w:ascii="Garamond" w:hAnsi="Garamond"/>
          <w:sz w:val="24"/>
          <w:szCs w:val="24"/>
          <w:lang w:val="zh-CN"/>
        </w:rPr>
        <w:t>ssembly of Nairobi)  in approving the resolution by the 1</w:t>
      </w:r>
      <w:r>
        <w:rPr>
          <w:rFonts w:ascii="Garamond" w:hAnsi="Garamond"/>
          <w:sz w:val="24"/>
          <w:szCs w:val="24"/>
          <w:vertAlign w:val="superscript"/>
          <w:lang w:val="zh-CN"/>
        </w:rPr>
        <w:t>st</w:t>
      </w:r>
      <w:r>
        <w:rPr>
          <w:rFonts w:ascii="Garamond" w:hAnsi="Garamond"/>
          <w:sz w:val="24"/>
          <w:szCs w:val="24"/>
          <w:lang w:val="zh-CN"/>
        </w:rPr>
        <w:t> respondent without public participation was meant to confirm a commercial benefit to developers such as the 4</w:t>
      </w:r>
      <w:r>
        <w:rPr>
          <w:rFonts w:ascii="Garamond" w:hAnsi="Garamond"/>
          <w:sz w:val="24"/>
          <w:szCs w:val="24"/>
          <w:vertAlign w:val="superscript"/>
          <w:lang w:val="zh-CN"/>
        </w:rPr>
        <w:t>th</w:t>
      </w:r>
      <w:r>
        <w:rPr>
          <w:rFonts w:ascii="Garamond" w:hAnsi="Garamond"/>
          <w:sz w:val="24"/>
          <w:szCs w:val="24"/>
          <w:lang w:val="zh-CN"/>
        </w:rPr>
        <w:t> and 5</w:t>
      </w:r>
      <w:r>
        <w:rPr>
          <w:rFonts w:ascii="Garamond" w:hAnsi="Garamond"/>
          <w:sz w:val="24"/>
          <w:szCs w:val="24"/>
          <w:vertAlign w:val="superscript"/>
          <w:lang w:val="zh-CN"/>
        </w:rPr>
        <w:t>th</w:t>
      </w:r>
      <w:r>
        <w:rPr>
          <w:rFonts w:ascii="Garamond" w:hAnsi="Garamond"/>
          <w:sz w:val="24"/>
          <w:szCs w:val="24"/>
          <w:lang w:val="zh-CN"/>
        </w:rPr>
        <w:t> respondents against the 38 collective interests of the petitioners as well a</w:t>
      </w:r>
      <w:r>
        <w:rPr>
          <w:rFonts w:ascii="Garamond" w:hAnsi="Garamond"/>
          <w:sz w:val="24"/>
          <w:szCs w:val="24"/>
          <w:lang w:val="zh-CN"/>
        </w:rPr>
        <w:t>s the millions of Nairobi residents to whom the property meant to house the proposed site belonged to. It was also argued that the 3</w:t>
      </w:r>
      <w:r>
        <w:rPr>
          <w:rFonts w:ascii="Garamond" w:hAnsi="Garamond"/>
          <w:sz w:val="24"/>
          <w:szCs w:val="24"/>
          <w:vertAlign w:val="superscript"/>
          <w:lang w:val="zh-CN"/>
        </w:rPr>
        <w:t>rd</w:t>
      </w:r>
      <w:r>
        <w:rPr>
          <w:rFonts w:ascii="Garamond" w:hAnsi="Garamond"/>
          <w:sz w:val="24"/>
          <w:szCs w:val="24"/>
          <w:lang w:val="zh-CN"/>
        </w:rPr>
        <w:t> respondent who by law was vested with powers to manage public land did not authorize the 1</w:t>
      </w:r>
      <w:r>
        <w:rPr>
          <w:rFonts w:ascii="Garamond" w:hAnsi="Garamond"/>
          <w:sz w:val="24"/>
          <w:szCs w:val="24"/>
          <w:vertAlign w:val="superscript"/>
          <w:lang w:val="zh-CN"/>
        </w:rPr>
        <w:t>st</w:t>
      </w:r>
      <w:r>
        <w:rPr>
          <w:rFonts w:ascii="Garamond" w:hAnsi="Garamond"/>
          <w:sz w:val="24"/>
          <w:szCs w:val="24"/>
          <w:lang w:val="zh-CN"/>
        </w:rPr>
        <w:t> and 2</w:t>
      </w:r>
      <w:r>
        <w:rPr>
          <w:rFonts w:ascii="Garamond" w:hAnsi="Garamond"/>
          <w:sz w:val="24"/>
          <w:szCs w:val="24"/>
          <w:vertAlign w:val="superscript"/>
          <w:lang w:val="zh-CN"/>
        </w:rPr>
        <w:t>nd</w:t>
      </w:r>
      <w:r>
        <w:rPr>
          <w:rFonts w:ascii="Garamond" w:hAnsi="Garamond"/>
          <w:sz w:val="24"/>
          <w:szCs w:val="24"/>
          <w:lang w:val="zh-CN"/>
        </w:rPr>
        <w:t> respondents to depos</w:t>
      </w:r>
      <w:r>
        <w:rPr>
          <w:rFonts w:ascii="Garamond" w:hAnsi="Garamond"/>
          <w:sz w:val="24"/>
          <w:szCs w:val="24"/>
          <w:lang w:val="zh-CN"/>
        </w:rPr>
        <w:t>it the subject titles of public land with financial institutions to secure funding for the developers. The 1</w:t>
      </w:r>
      <w:r>
        <w:rPr>
          <w:rFonts w:ascii="Garamond" w:hAnsi="Garamond"/>
          <w:sz w:val="24"/>
          <w:szCs w:val="24"/>
          <w:vertAlign w:val="superscript"/>
          <w:lang w:val="zh-CN"/>
        </w:rPr>
        <w:t>st</w:t>
      </w:r>
      <w:r>
        <w:rPr>
          <w:rFonts w:ascii="Garamond" w:hAnsi="Garamond"/>
          <w:sz w:val="24"/>
          <w:szCs w:val="24"/>
          <w:lang w:val="zh-CN"/>
        </w:rPr>
        <w:t> and 2</w:t>
      </w:r>
      <w:r>
        <w:rPr>
          <w:rFonts w:ascii="Garamond" w:hAnsi="Garamond"/>
          <w:sz w:val="24"/>
          <w:szCs w:val="24"/>
          <w:vertAlign w:val="superscript"/>
          <w:lang w:val="zh-CN"/>
        </w:rPr>
        <w:t>nd</w:t>
      </w:r>
      <w:r>
        <w:rPr>
          <w:rFonts w:ascii="Garamond" w:hAnsi="Garamond"/>
          <w:sz w:val="24"/>
          <w:szCs w:val="24"/>
          <w:lang w:val="zh-CN"/>
        </w:rPr>
        <w:t> respondents and the interested party put forth a position that the 3rd Respondent (National Land Commission (NLC)) had availed the Land f</w:t>
      </w:r>
      <w:r>
        <w:rPr>
          <w:rFonts w:ascii="Garamond" w:hAnsi="Garamond"/>
          <w:sz w:val="24"/>
          <w:szCs w:val="24"/>
          <w:lang w:val="zh-CN"/>
        </w:rPr>
        <w:t>or the Pangani Renewal Project and was continually availing other lands as Urban Renewal Project unfolds in phases. It was also their case that the 1</w:t>
      </w:r>
      <w:r>
        <w:rPr>
          <w:rFonts w:ascii="Garamond" w:hAnsi="Garamond"/>
          <w:sz w:val="24"/>
          <w:szCs w:val="24"/>
          <w:vertAlign w:val="superscript"/>
          <w:lang w:val="zh-CN"/>
        </w:rPr>
        <w:t>st</w:t>
      </w:r>
      <w:r>
        <w:rPr>
          <w:rFonts w:ascii="Garamond" w:hAnsi="Garamond"/>
          <w:sz w:val="24"/>
          <w:szCs w:val="24"/>
          <w:lang w:val="zh-CN"/>
        </w:rPr>
        <w:t> respondent would only use the Pangani Project title as a simple non-collateral deposit in obtaining fund</w:t>
      </w:r>
      <w:r>
        <w:rPr>
          <w:rFonts w:ascii="Garamond" w:hAnsi="Garamond"/>
          <w:sz w:val="24"/>
          <w:szCs w:val="24"/>
          <w:lang w:val="zh-CN"/>
        </w:rPr>
        <w:t>ing and as such, there was no risk of the 1</w:t>
      </w:r>
      <w:r>
        <w:rPr>
          <w:rFonts w:ascii="Garamond" w:hAnsi="Garamond"/>
          <w:sz w:val="24"/>
          <w:szCs w:val="24"/>
          <w:vertAlign w:val="superscript"/>
          <w:lang w:val="zh-CN"/>
        </w:rPr>
        <w:t>st</w:t>
      </w:r>
      <w:r>
        <w:rPr>
          <w:rFonts w:ascii="Garamond" w:hAnsi="Garamond"/>
          <w:sz w:val="24"/>
          <w:szCs w:val="24"/>
          <w:lang w:val="zh-CN"/>
        </w:rPr>
        <w:t> respondent losing the property or any other property should the developers default on payment of the facilities, the titles having not been charged with any financial institutions. Following the set of facts di</w:t>
      </w:r>
      <w:r>
        <w:rPr>
          <w:rFonts w:ascii="Garamond" w:hAnsi="Garamond"/>
          <w:sz w:val="24"/>
          <w:szCs w:val="24"/>
          <w:lang w:val="zh-CN"/>
        </w:rPr>
        <w:t>scuss with case law and sections of the law</w:t>
      </w:r>
    </w:p>
    <w:p w:rsidR="00520114" w:rsidRDefault="001111DB">
      <w:pPr>
        <w:numPr>
          <w:ilvl w:val="0"/>
          <w:numId w:val="2"/>
        </w:numPr>
        <w:jc w:val="both"/>
        <w:rPr>
          <w:rFonts w:ascii="Garamond" w:hAnsi="Garamond"/>
          <w:sz w:val="24"/>
          <w:szCs w:val="24"/>
          <w:lang w:val="zh-CN"/>
        </w:rPr>
      </w:pPr>
      <w:r>
        <w:rPr>
          <w:rFonts w:ascii="Garamond" w:hAnsi="Garamond"/>
          <w:sz w:val="24"/>
          <w:szCs w:val="24"/>
          <w:lang w:val="zh-CN"/>
        </w:rPr>
        <w:t xml:space="preserve">The role of the National Land Commission on the management of Public land </w:t>
      </w:r>
    </w:p>
    <w:p w:rsidR="00520114" w:rsidRDefault="001111DB">
      <w:pPr>
        <w:ind w:left="360" w:firstLine="7884"/>
        <w:jc w:val="both"/>
        <w:rPr>
          <w:rFonts w:ascii="Garamond" w:hAnsi="Garamond"/>
          <w:sz w:val="24"/>
          <w:szCs w:val="24"/>
          <w:lang w:val="zh-CN"/>
        </w:rPr>
      </w:pPr>
      <w:r>
        <w:rPr>
          <w:rFonts w:ascii="Garamond" w:hAnsi="Garamond"/>
          <w:b/>
          <w:bCs/>
          <w:sz w:val="24"/>
          <w:szCs w:val="24"/>
          <w:lang w:val="zh-CN"/>
        </w:rPr>
        <w:t>(10 marks)</w:t>
      </w:r>
    </w:p>
    <w:p w:rsidR="00520114" w:rsidRDefault="001111DB">
      <w:pPr>
        <w:numPr>
          <w:ilvl w:val="0"/>
          <w:numId w:val="2"/>
        </w:numPr>
        <w:jc w:val="both"/>
        <w:rPr>
          <w:rFonts w:ascii="Garamond" w:hAnsi="Garamond"/>
          <w:sz w:val="24"/>
          <w:szCs w:val="24"/>
          <w:lang w:val="zh-CN"/>
        </w:rPr>
      </w:pPr>
      <w:r>
        <w:rPr>
          <w:rFonts w:ascii="Garamond" w:hAnsi="Garamond"/>
          <w:sz w:val="24"/>
          <w:szCs w:val="24"/>
          <w:lang w:val="zh-CN"/>
        </w:rPr>
        <w:t xml:space="preserve">Whether the action of  Nairobi County’s action of depositing the title deed for public land containing urban renewal projects </w:t>
      </w:r>
      <w:r>
        <w:rPr>
          <w:rFonts w:ascii="Garamond" w:hAnsi="Garamond"/>
          <w:sz w:val="24"/>
          <w:szCs w:val="24"/>
          <w:lang w:val="zh-CN"/>
        </w:rPr>
        <w:t>as collateral with a financial institution was unconstitutional and contrary to the law?</w:t>
      </w:r>
      <w:r>
        <w:rPr>
          <w:rFonts w:ascii="Garamond" w:hAnsi="Garamond"/>
          <w:b/>
          <w:bCs/>
          <w:sz w:val="24"/>
          <w:szCs w:val="24"/>
          <w:lang w:val="zh-CN"/>
        </w:rPr>
        <w:t xml:space="preserve"> </w:t>
      </w:r>
      <w:r>
        <w:rPr>
          <w:rFonts w:ascii="Garamond" w:hAnsi="Garamond"/>
          <w:b/>
          <w:bCs/>
          <w:sz w:val="24"/>
          <w:szCs w:val="24"/>
        </w:rPr>
        <w:tab/>
      </w:r>
      <w:r>
        <w:rPr>
          <w:rFonts w:ascii="Garamond" w:hAnsi="Garamond"/>
          <w:b/>
          <w:bCs/>
          <w:sz w:val="24"/>
          <w:szCs w:val="24"/>
        </w:rPr>
        <w:tab/>
      </w:r>
      <w:r>
        <w:rPr>
          <w:rFonts w:ascii="Garamond" w:hAnsi="Garamond"/>
          <w:b/>
          <w:bCs/>
          <w:sz w:val="24"/>
          <w:szCs w:val="24"/>
        </w:rPr>
        <w:tab/>
      </w:r>
      <w:r>
        <w:rPr>
          <w:rFonts w:ascii="Garamond" w:hAnsi="Garamond"/>
          <w:b/>
          <w:bCs/>
          <w:sz w:val="24"/>
          <w:szCs w:val="24"/>
        </w:rPr>
        <w:tab/>
      </w:r>
      <w:r>
        <w:rPr>
          <w:rFonts w:ascii="Garamond" w:hAnsi="Garamond"/>
          <w:b/>
          <w:bCs/>
          <w:sz w:val="24"/>
          <w:szCs w:val="24"/>
        </w:rPr>
        <w:tab/>
        <w:t xml:space="preserve">     </w:t>
      </w:r>
      <w:r>
        <w:rPr>
          <w:rFonts w:ascii="Garamond" w:hAnsi="Garamond"/>
          <w:b/>
          <w:bCs/>
          <w:sz w:val="24"/>
          <w:szCs w:val="24"/>
          <w:lang w:val="zh-CN"/>
        </w:rPr>
        <w:t>(20 marks)</w:t>
      </w:r>
    </w:p>
    <w:p w:rsidR="00520114" w:rsidRDefault="00520114">
      <w:pPr>
        <w:jc w:val="both"/>
        <w:rPr>
          <w:rFonts w:ascii="Garamond" w:hAnsi="Garamond"/>
          <w:sz w:val="24"/>
          <w:szCs w:val="24"/>
        </w:rPr>
      </w:pPr>
    </w:p>
    <w:p w:rsidR="00520114" w:rsidRDefault="001111DB">
      <w:pPr>
        <w:jc w:val="both"/>
        <w:rPr>
          <w:rFonts w:ascii="Garamond" w:hAnsi="Garamond"/>
          <w:b/>
          <w:sz w:val="24"/>
          <w:szCs w:val="24"/>
        </w:rPr>
      </w:pPr>
      <w:r>
        <w:rPr>
          <w:rFonts w:ascii="Garamond" w:hAnsi="Garamond"/>
          <w:b/>
          <w:sz w:val="24"/>
          <w:szCs w:val="24"/>
        </w:rPr>
        <w:t>SECTION B: TOTAL MARKS FOR THIS SECTION IS 40</w:t>
      </w:r>
    </w:p>
    <w:p w:rsidR="00520114" w:rsidRDefault="001111DB">
      <w:pPr>
        <w:spacing w:after="0" w:line="240" w:lineRule="auto"/>
        <w:jc w:val="both"/>
        <w:rPr>
          <w:rFonts w:ascii="Garamond" w:hAnsi="Garamond"/>
          <w:b/>
          <w:sz w:val="24"/>
          <w:szCs w:val="24"/>
        </w:rPr>
      </w:pPr>
      <w:r>
        <w:rPr>
          <w:rFonts w:ascii="Garamond" w:hAnsi="Garamond"/>
          <w:b/>
          <w:sz w:val="24"/>
          <w:szCs w:val="24"/>
        </w:rPr>
        <w:t>Question 2</w:t>
      </w:r>
    </w:p>
    <w:p w:rsidR="00520114" w:rsidRDefault="001111DB">
      <w:pPr>
        <w:spacing w:after="0" w:line="240" w:lineRule="auto"/>
        <w:jc w:val="both"/>
        <w:rPr>
          <w:rFonts w:ascii="Garamond" w:hAnsi="Garamond"/>
          <w:bCs/>
          <w:sz w:val="24"/>
          <w:szCs w:val="24"/>
          <w:lang w:val="zh-CN"/>
        </w:rPr>
      </w:pPr>
      <w:r>
        <w:rPr>
          <w:rFonts w:ascii="Garamond" w:hAnsi="Garamond"/>
          <w:bCs/>
          <w:sz w:val="24"/>
          <w:szCs w:val="24"/>
          <w:lang w:val="zh-CN"/>
        </w:rPr>
        <w:t>The dispute between the appellant Samuel Kihamba and the respondent Mary Mbaisi revolved</w:t>
      </w:r>
      <w:r>
        <w:rPr>
          <w:rFonts w:ascii="Garamond" w:hAnsi="Garamond"/>
          <w:bCs/>
          <w:sz w:val="24"/>
          <w:szCs w:val="24"/>
          <w:lang w:val="zh-CN"/>
        </w:rPr>
        <w:t xml:space="preserve"> around a parcel  of land known as plot number Kakamega / Lugari / 67 (“the suit land”) measuring 5.4 hectares. The suit land was registered in the appellants name on 19</w:t>
      </w:r>
      <w:r>
        <w:rPr>
          <w:rFonts w:ascii="Garamond" w:hAnsi="Garamond"/>
          <w:bCs/>
          <w:sz w:val="24"/>
          <w:szCs w:val="24"/>
          <w:vertAlign w:val="superscript"/>
          <w:lang w:val="zh-CN"/>
        </w:rPr>
        <w:t>th</w:t>
      </w:r>
      <w:r>
        <w:rPr>
          <w:rFonts w:ascii="Garamond" w:hAnsi="Garamond"/>
          <w:bCs/>
          <w:sz w:val="24"/>
          <w:szCs w:val="24"/>
          <w:lang w:val="zh-CN"/>
        </w:rPr>
        <w:t xml:space="preserve"> February 1997 as was evidenced by the title deed produced as evidence at the trial. </w:t>
      </w:r>
      <w:r>
        <w:rPr>
          <w:rFonts w:ascii="Garamond" w:hAnsi="Garamond"/>
          <w:bCs/>
          <w:sz w:val="24"/>
          <w:szCs w:val="24"/>
          <w:lang w:val="zh-CN"/>
        </w:rPr>
        <w:t>The appellant is a stepson of the respondent.</w:t>
      </w:r>
    </w:p>
    <w:p w:rsidR="00520114" w:rsidRDefault="00520114">
      <w:pPr>
        <w:spacing w:after="0" w:line="240" w:lineRule="auto"/>
        <w:jc w:val="both"/>
        <w:rPr>
          <w:rFonts w:ascii="Garamond" w:hAnsi="Garamond"/>
          <w:b/>
          <w:sz w:val="24"/>
          <w:szCs w:val="24"/>
        </w:rPr>
      </w:pPr>
    </w:p>
    <w:p w:rsidR="00520114" w:rsidRDefault="001111DB">
      <w:pPr>
        <w:spacing w:after="0" w:line="240" w:lineRule="auto"/>
        <w:jc w:val="both"/>
        <w:rPr>
          <w:rFonts w:ascii="Garamond" w:hAnsi="Garamond"/>
          <w:bCs/>
          <w:sz w:val="24"/>
          <w:szCs w:val="24"/>
          <w:lang w:val="zh-CN"/>
        </w:rPr>
      </w:pPr>
      <w:r>
        <w:rPr>
          <w:rFonts w:ascii="Garamond" w:hAnsi="Garamond"/>
          <w:bCs/>
          <w:sz w:val="24"/>
          <w:szCs w:val="24"/>
        </w:rPr>
        <w:t>The respondent testified that she had resided on the suit land since 1964 with her late husband and had cultivated on the said land without interruption or interference.  She had buried her dead children on th</w:t>
      </w:r>
      <w:r>
        <w:rPr>
          <w:rFonts w:ascii="Garamond" w:hAnsi="Garamond"/>
          <w:bCs/>
          <w:sz w:val="24"/>
          <w:szCs w:val="24"/>
        </w:rPr>
        <w:t xml:space="preserve">e suit land.  Her daughter Joyce, since deceased, who then resided in Nairobi, had taken </w:t>
      </w:r>
      <w:r>
        <w:rPr>
          <w:rFonts w:ascii="Garamond" w:hAnsi="Garamond"/>
          <w:bCs/>
          <w:sz w:val="24"/>
          <w:szCs w:val="24"/>
        </w:rPr>
        <w:lastRenderedPageBreak/>
        <w:t xml:space="preserve">documents in respect of the suit land ostensibly to have the respondent registered as owner of the suit land but the the respondent never saw the documents again only </w:t>
      </w:r>
      <w:r>
        <w:rPr>
          <w:rFonts w:ascii="Garamond" w:hAnsi="Garamond"/>
          <w:bCs/>
          <w:sz w:val="24"/>
          <w:szCs w:val="24"/>
        </w:rPr>
        <w:t>to discover upon a search of the title that the appellant had been registered as owner of the suit land.</w:t>
      </w:r>
      <w:r>
        <w:rPr>
          <w:rFonts w:ascii="Garamond" w:hAnsi="Garamond"/>
          <w:bCs/>
          <w:sz w:val="24"/>
          <w:szCs w:val="24"/>
          <w:lang w:val="zh-CN"/>
        </w:rPr>
        <w:t xml:space="preserve"> Give the foregoing,</w:t>
      </w:r>
    </w:p>
    <w:p w:rsidR="00520114" w:rsidRDefault="001111DB">
      <w:pPr>
        <w:numPr>
          <w:ilvl w:val="0"/>
          <w:numId w:val="3"/>
        </w:numPr>
        <w:spacing w:before="100" w:beforeAutospacing="1" w:after="100" w:afterAutospacing="1" w:line="240" w:lineRule="auto"/>
        <w:jc w:val="both"/>
        <w:rPr>
          <w:rFonts w:ascii="Garamond" w:hAnsi="Garamond"/>
          <w:bCs/>
          <w:sz w:val="24"/>
          <w:szCs w:val="24"/>
          <w:lang w:val="zh-CN"/>
        </w:rPr>
      </w:pPr>
      <w:r>
        <w:rPr>
          <w:rFonts w:ascii="Garamond" w:hAnsi="Garamond"/>
          <w:bCs/>
          <w:sz w:val="24"/>
          <w:szCs w:val="24"/>
          <w:lang w:val="zh-CN"/>
        </w:rPr>
        <w:t xml:space="preserve">How would you describe adverse possession? </w:t>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
          <w:sz w:val="24"/>
          <w:szCs w:val="24"/>
          <w:lang w:val="zh-CN"/>
        </w:rPr>
        <w:t>(5 marks)</w:t>
      </w:r>
    </w:p>
    <w:p w:rsidR="00520114" w:rsidRDefault="001111DB">
      <w:pPr>
        <w:numPr>
          <w:ilvl w:val="0"/>
          <w:numId w:val="3"/>
        </w:numPr>
        <w:spacing w:before="100" w:beforeAutospacing="1" w:after="100" w:afterAutospacing="1" w:line="240" w:lineRule="auto"/>
        <w:jc w:val="both"/>
        <w:rPr>
          <w:rFonts w:ascii="Garamond" w:hAnsi="Garamond"/>
          <w:bCs/>
          <w:sz w:val="24"/>
          <w:szCs w:val="24"/>
          <w:lang w:val="zh-CN"/>
        </w:rPr>
      </w:pPr>
      <w:r>
        <w:rPr>
          <w:rFonts w:ascii="Garamond" w:hAnsi="Garamond"/>
          <w:bCs/>
          <w:sz w:val="24"/>
          <w:szCs w:val="24"/>
          <w:lang w:val="zh-CN"/>
        </w:rPr>
        <w:t>What arguments can the adverse possessor use to prove that he has met the</w:t>
      </w:r>
      <w:r>
        <w:rPr>
          <w:rFonts w:ascii="Garamond" w:hAnsi="Garamond"/>
          <w:bCs/>
          <w:sz w:val="24"/>
          <w:szCs w:val="24"/>
          <w:lang w:val="zh-CN"/>
        </w:rPr>
        <w:t xml:space="preserve"> 12 year requirement? </w:t>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Cs/>
          <w:sz w:val="24"/>
          <w:szCs w:val="24"/>
        </w:rPr>
        <w:tab/>
      </w:r>
      <w:r>
        <w:rPr>
          <w:rFonts w:ascii="Garamond" w:hAnsi="Garamond"/>
          <w:b/>
          <w:sz w:val="24"/>
          <w:szCs w:val="24"/>
          <w:lang w:val="zh-CN"/>
        </w:rPr>
        <w:t>(15 marks)</w:t>
      </w:r>
    </w:p>
    <w:p w:rsidR="00520114" w:rsidRDefault="001111DB">
      <w:pPr>
        <w:spacing w:after="0" w:line="240" w:lineRule="auto"/>
        <w:jc w:val="both"/>
        <w:rPr>
          <w:rFonts w:ascii="Garamond" w:hAnsi="Garamond"/>
          <w:b/>
          <w:sz w:val="24"/>
          <w:szCs w:val="24"/>
        </w:rPr>
      </w:pPr>
      <w:r>
        <w:rPr>
          <w:rFonts w:ascii="Garamond" w:hAnsi="Garamond"/>
          <w:b/>
          <w:sz w:val="24"/>
          <w:szCs w:val="24"/>
        </w:rPr>
        <w:t>Question 3</w:t>
      </w:r>
    </w:p>
    <w:p w:rsidR="00520114" w:rsidRDefault="001111DB">
      <w:pPr>
        <w:spacing w:after="0" w:line="240" w:lineRule="auto"/>
        <w:jc w:val="both"/>
        <w:rPr>
          <w:rFonts w:ascii="Garamond" w:hAnsi="Garamond"/>
          <w:sz w:val="24"/>
          <w:szCs w:val="24"/>
          <w:lang w:val="zh-CN"/>
        </w:rPr>
      </w:pPr>
      <w:r>
        <w:rPr>
          <w:rFonts w:ascii="Garamond" w:hAnsi="Garamond"/>
          <w:sz w:val="24"/>
          <w:szCs w:val="24"/>
        </w:rPr>
        <w:t>Daniel Wagacha Gichura</w:t>
      </w:r>
      <w:r>
        <w:rPr>
          <w:rFonts w:ascii="Garamond" w:hAnsi="Garamond"/>
          <w:sz w:val="24"/>
          <w:szCs w:val="24"/>
          <w:lang w:val="zh-CN"/>
        </w:rPr>
        <w:t>’s case is in regard to the compulsory acquisition for the construction of the Standard Gauge Railway (Phase 2A). The Complainant is the registered proprietor of the suit property o</w:t>
      </w:r>
      <w:r>
        <w:rPr>
          <w:rFonts w:ascii="Garamond" w:hAnsi="Garamond"/>
          <w:sz w:val="24"/>
          <w:szCs w:val="24"/>
          <w:lang w:val="zh-CN"/>
        </w:rPr>
        <w:t>therwise known as Longonot/Kijabe Block 6/755 measuring approximately Four Decimal Zero Six hectares (4.06 Ha) situate in Kiambu Nyakinyua within Naivasha County. Sometime in the year 2018, the 1</w:t>
      </w:r>
      <w:r>
        <w:rPr>
          <w:rFonts w:ascii="Garamond" w:hAnsi="Garamond"/>
          <w:sz w:val="24"/>
          <w:szCs w:val="24"/>
          <w:vertAlign w:val="superscript"/>
          <w:lang w:val="zh-CN"/>
        </w:rPr>
        <w:t>st</w:t>
      </w:r>
      <w:r>
        <w:rPr>
          <w:rFonts w:ascii="Garamond" w:hAnsi="Garamond"/>
          <w:sz w:val="24"/>
          <w:szCs w:val="24"/>
          <w:lang w:val="zh-CN"/>
        </w:rPr>
        <w:t> Respondent (National Land Commission) gave notice of its i</w:t>
      </w:r>
      <w:r>
        <w:rPr>
          <w:rFonts w:ascii="Garamond" w:hAnsi="Garamond"/>
          <w:sz w:val="24"/>
          <w:szCs w:val="24"/>
          <w:lang w:val="zh-CN"/>
        </w:rPr>
        <w:t>ntention to acquire part of the suit property and several neighboring parcels of land for purposes of construction of the Standard gauge Railway (Phase 2A) vide Gazette Notice No. 12526. The Complainant states that he was offered an award of Kenya Shilling</w:t>
      </w:r>
      <w:r>
        <w:rPr>
          <w:rFonts w:ascii="Garamond" w:hAnsi="Garamond"/>
          <w:sz w:val="24"/>
          <w:szCs w:val="24"/>
          <w:lang w:val="zh-CN"/>
        </w:rPr>
        <w:t>s Two Million Eight Hundred and Nine Thousand Five Hundred and Ninety-Six (Kshs. 2,809,596.00) which he accepted but the same has not been paid since the year 2018.</w:t>
      </w:r>
    </w:p>
    <w:p w:rsidR="00520114" w:rsidRDefault="001111DB">
      <w:pPr>
        <w:jc w:val="both"/>
        <w:rPr>
          <w:rFonts w:ascii="Garamond" w:hAnsi="Garamond"/>
          <w:sz w:val="24"/>
          <w:szCs w:val="24"/>
          <w:lang w:val="zh-CN"/>
        </w:rPr>
      </w:pPr>
      <w:r>
        <w:rPr>
          <w:rFonts w:ascii="Garamond" w:hAnsi="Garamond"/>
          <w:sz w:val="24"/>
          <w:szCs w:val="24"/>
          <w:lang w:val="zh-CN"/>
        </w:rPr>
        <w:t>It is the Complainant’s contention, therefore, that the Respondents have violated his Const</w:t>
      </w:r>
      <w:r>
        <w:rPr>
          <w:rFonts w:ascii="Garamond" w:hAnsi="Garamond"/>
          <w:sz w:val="24"/>
          <w:szCs w:val="24"/>
          <w:lang w:val="zh-CN"/>
        </w:rPr>
        <w:t>itutional rights, in particular, Articles 23, 40 and 47 of </w:t>
      </w:r>
      <w:hyperlink r:id="rId9" w:tgtFrame="_blank" w:history="1">
        <w:r>
          <w:rPr>
            <w:rStyle w:val="Hyperlink"/>
            <w:rFonts w:ascii="Garamond" w:hAnsi="Garamond"/>
            <w:i/>
            <w:iCs/>
            <w:sz w:val="24"/>
            <w:szCs w:val="24"/>
            <w:lang w:val="zh-CN"/>
          </w:rPr>
          <w:t>the Constitution</w:t>
        </w:r>
      </w:hyperlink>
      <w:r>
        <w:rPr>
          <w:rFonts w:ascii="Garamond" w:hAnsi="Garamond"/>
          <w:sz w:val="24"/>
          <w:szCs w:val="24"/>
          <w:lang w:val="zh-CN"/>
        </w:rPr>
        <w:t xml:space="preserve"> of Kenya (2010). The Complainant further alleges that the Respondents are in breach of Section </w:t>
      </w:r>
      <w:r>
        <w:rPr>
          <w:rFonts w:ascii="Garamond" w:hAnsi="Garamond"/>
          <w:sz w:val="24"/>
          <w:szCs w:val="24"/>
          <w:lang w:val="zh-CN"/>
        </w:rPr>
        <w:t>4(1) of the </w:t>
      </w:r>
      <w:hyperlink r:id="rId10" w:tgtFrame="_blank" w:history="1">
        <w:r>
          <w:rPr>
            <w:rStyle w:val="Hyperlink"/>
            <w:rFonts w:ascii="Garamond" w:hAnsi="Garamond"/>
            <w:i/>
            <w:iCs/>
            <w:sz w:val="24"/>
            <w:szCs w:val="24"/>
            <w:lang w:val="zh-CN"/>
          </w:rPr>
          <w:t>Fair Administrative Action Act</w:t>
        </w:r>
      </w:hyperlink>
      <w:r>
        <w:rPr>
          <w:rFonts w:ascii="Garamond" w:hAnsi="Garamond"/>
          <w:sz w:val="24"/>
          <w:szCs w:val="24"/>
          <w:lang w:val="zh-CN"/>
        </w:rPr>
        <w:t>, 2015, and Section 111 of the </w:t>
      </w:r>
      <w:hyperlink r:id="rId11" w:tgtFrame="_blank" w:history="1">
        <w:r>
          <w:rPr>
            <w:rStyle w:val="Hyperlink"/>
            <w:rFonts w:ascii="Garamond" w:hAnsi="Garamond"/>
            <w:i/>
            <w:iCs/>
            <w:sz w:val="24"/>
            <w:szCs w:val="24"/>
            <w:lang w:val="zh-CN"/>
          </w:rPr>
          <w:t>Land Act</w:t>
        </w:r>
      </w:hyperlink>
      <w:r>
        <w:rPr>
          <w:rFonts w:ascii="Garamond" w:hAnsi="Garamond"/>
          <w:sz w:val="24"/>
          <w:szCs w:val="24"/>
          <w:lang w:val="zh-CN"/>
        </w:rPr>
        <w:t>. Enumerate the process of compul</w:t>
      </w:r>
      <w:r>
        <w:rPr>
          <w:rFonts w:ascii="Garamond" w:hAnsi="Garamond"/>
          <w:sz w:val="24"/>
          <w:szCs w:val="24"/>
          <w:lang w:val="zh-CN"/>
        </w:rPr>
        <w:t>sory acquisition of land as detailed in the </w:t>
      </w:r>
      <w:hyperlink r:id="rId12" w:tgtFrame="_blank" w:history="1">
        <w:r>
          <w:rPr>
            <w:rStyle w:val="Hyperlink"/>
            <w:rFonts w:ascii="Garamond" w:hAnsi="Garamond"/>
            <w:i/>
            <w:iCs/>
            <w:sz w:val="24"/>
            <w:szCs w:val="24"/>
            <w:lang w:val="zh-CN"/>
          </w:rPr>
          <w:t>Land Act</w:t>
        </w:r>
      </w:hyperlink>
      <w:r>
        <w:rPr>
          <w:rFonts w:ascii="Garamond" w:hAnsi="Garamond"/>
          <w:sz w:val="24"/>
          <w:szCs w:val="24"/>
          <w:lang w:val="zh-CN"/>
        </w:rPr>
        <w:t xml:space="preserve">, 2012 and the Constitution of Kenya </w:t>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b/>
          <w:bCs/>
          <w:sz w:val="24"/>
          <w:szCs w:val="24"/>
          <w:lang w:val="zh-CN"/>
        </w:rPr>
        <w:t>(20 marks)</w:t>
      </w:r>
    </w:p>
    <w:p w:rsidR="00520114" w:rsidRDefault="00520114">
      <w:pPr>
        <w:spacing w:after="0" w:line="240" w:lineRule="auto"/>
        <w:jc w:val="both"/>
        <w:rPr>
          <w:rFonts w:ascii="Garamond" w:hAnsi="Garamond"/>
          <w:sz w:val="24"/>
          <w:szCs w:val="24"/>
        </w:rPr>
      </w:pPr>
    </w:p>
    <w:p w:rsidR="00520114" w:rsidRDefault="001111DB">
      <w:pPr>
        <w:spacing w:after="0" w:line="240" w:lineRule="auto"/>
        <w:jc w:val="both"/>
        <w:rPr>
          <w:rFonts w:ascii="Garamond" w:hAnsi="Garamond"/>
          <w:b/>
          <w:sz w:val="24"/>
          <w:szCs w:val="24"/>
        </w:rPr>
      </w:pPr>
      <w:r>
        <w:rPr>
          <w:rFonts w:ascii="Garamond" w:hAnsi="Garamond"/>
          <w:b/>
          <w:sz w:val="24"/>
          <w:szCs w:val="24"/>
        </w:rPr>
        <w:t>Question 4</w:t>
      </w:r>
    </w:p>
    <w:p w:rsidR="00520114" w:rsidRDefault="001111DB">
      <w:pPr>
        <w:spacing w:after="0" w:line="240" w:lineRule="auto"/>
        <w:ind w:left="-5"/>
        <w:jc w:val="both"/>
        <w:rPr>
          <w:rFonts w:ascii="Garamond" w:hAnsi="Garamond"/>
          <w:sz w:val="24"/>
          <w:szCs w:val="24"/>
        </w:rPr>
      </w:pPr>
      <w:r>
        <w:rPr>
          <w:rFonts w:ascii="Garamond" w:hAnsi="Garamond"/>
          <w:sz w:val="24"/>
          <w:szCs w:val="24"/>
        </w:rPr>
        <w:t xml:space="preserve">Mr. Ndeleva, an aspiring businessman sought a bank loan to begin his </w:t>
      </w:r>
      <w:r>
        <w:rPr>
          <w:rFonts w:ascii="Garamond" w:hAnsi="Garamond"/>
          <w:sz w:val="24"/>
          <w:szCs w:val="24"/>
        </w:rPr>
        <w:t>fashion and design business.  He gave his 3 acre piece of land at Kitusuru Village as security to Bank of Africa and secured a loan of Kshs 3,500,000/=.  After some time, he approached the bank for a top up and a second charge was registered on the same pi</w:t>
      </w:r>
      <w:r>
        <w:rPr>
          <w:rFonts w:ascii="Garamond" w:hAnsi="Garamond"/>
          <w:sz w:val="24"/>
          <w:szCs w:val="24"/>
        </w:rPr>
        <w:t xml:space="preserve">ece of land for a further 650,000/=. </w:t>
      </w:r>
    </w:p>
    <w:p w:rsidR="00520114" w:rsidRDefault="00520114">
      <w:pPr>
        <w:spacing w:after="0" w:line="240" w:lineRule="auto"/>
        <w:ind w:left="-5"/>
        <w:jc w:val="both"/>
        <w:rPr>
          <w:rFonts w:ascii="Garamond" w:hAnsi="Garamond"/>
          <w:sz w:val="24"/>
          <w:szCs w:val="24"/>
        </w:rPr>
      </w:pPr>
    </w:p>
    <w:p w:rsidR="00520114" w:rsidRDefault="001111DB">
      <w:pPr>
        <w:ind w:left="-5"/>
        <w:jc w:val="both"/>
        <w:rPr>
          <w:rFonts w:ascii="Garamond" w:hAnsi="Garamond"/>
          <w:sz w:val="24"/>
          <w:szCs w:val="24"/>
        </w:rPr>
      </w:pPr>
      <w:r>
        <w:rPr>
          <w:rFonts w:ascii="Garamond" w:hAnsi="Garamond"/>
          <w:sz w:val="24"/>
          <w:szCs w:val="24"/>
        </w:rPr>
        <w:t xml:space="preserve">It was a wonderful business year for Mr. Ndeleva, and business was doing really well.  He decided to expand his fashion and design business from Nairobi to Kampala given that 80% of his online clients were based there. He needed to get financial backing.  </w:t>
      </w:r>
      <w:r>
        <w:rPr>
          <w:rFonts w:ascii="Garamond" w:hAnsi="Garamond"/>
          <w:sz w:val="24"/>
          <w:szCs w:val="24"/>
        </w:rPr>
        <w:t>Having joined KCB Bank he decided to take a fresh loan with the bank because they had very competitive interest rates.  During the transaction the lawyers conducted a search and found that although a charge and further charge with interests had been earlie</w:t>
      </w:r>
      <w:r>
        <w:rPr>
          <w:rFonts w:ascii="Garamond" w:hAnsi="Garamond"/>
          <w:sz w:val="24"/>
          <w:szCs w:val="24"/>
        </w:rPr>
        <w:t xml:space="preserve">r registered, the security was sufficient to stand in for the loan, as a result of its appreciation in value.  KCB Bank took over the charge and had the title released to itself an subsequently gave Mr. Ndeleva a further loan of 3,000,000/= and registered </w:t>
      </w:r>
      <w:r>
        <w:rPr>
          <w:rFonts w:ascii="Garamond" w:hAnsi="Garamond"/>
          <w:sz w:val="24"/>
          <w:szCs w:val="24"/>
        </w:rPr>
        <w:t xml:space="preserve">a further charge on the Kitusuru parcel. </w:t>
      </w:r>
    </w:p>
    <w:p w:rsidR="00520114" w:rsidRDefault="001111DB">
      <w:pPr>
        <w:spacing w:after="199"/>
        <w:ind w:left="-5"/>
        <w:jc w:val="both"/>
        <w:rPr>
          <w:rFonts w:ascii="Garamond" w:hAnsi="Garamond"/>
          <w:sz w:val="24"/>
          <w:szCs w:val="24"/>
        </w:rPr>
      </w:pPr>
      <w:r>
        <w:rPr>
          <w:rFonts w:ascii="Garamond" w:hAnsi="Garamond"/>
          <w:sz w:val="24"/>
          <w:szCs w:val="24"/>
        </w:rPr>
        <w:t>Business would continue to do well but not for so long because of the Opposition turmoil and clamour or the release of Kizza Besiyge in Kampala, Uganda.  As a result of the prolonged shut down, violence and economi</w:t>
      </w:r>
      <w:r>
        <w:rPr>
          <w:rFonts w:ascii="Garamond" w:hAnsi="Garamond"/>
          <w:sz w:val="24"/>
          <w:szCs w:val="24"/>
        </w:rPr>
        <w:t xml:space="preserve">c crunch that hit Kampala in the election period, prices sky rocketed, interest rates hit an all record high and business was extremely poor.  Kalkye had stretched himself too thin and could not service the loan.  He fell into areas and KCB bank needed to </w:t>
      </w:r>
      <w:r>
        <w:rPr>
          <w:rFonts w:ascii="Garamond" w:hAnsi="Garamond"/>
          <w:sz w:val="24"/>
          <w:szCs w:val="24"/>
        </w:rPr>
        <w:t xml:space="preserve">recover their sum of kshs 7,150,000.00. </w:t>
      </w:r>
    </w:p>
    <w:p w:rsidR="00520114" w:rsidRDefault="001111DB">
      <w:pPr>
        <w:numPr>
          <w:ilvl w:val="0"/>
          <w:numId w:val="4"/>
        </w:numPr>
        <w:spacing w:after="0" w:line="360" w:lineRule="auto"/>
        <w:ind w:right="5"/>
        <w:jc w:val="both"/>
        <w:rPr>
          <w:rFonts w:ascii="Garamond" w:hAnsi="Garamond"/>
          <w:sz w:val="24"/>
          <w:szCs w:val="24"/>
        </w:rPr>
      </w:pPr>
      <w:r>
        <w:rPr>
          <w:rFonts w:ascii="Garamond" w:hAnsi="Garamond"/>
          <w:sz w:val="24"/>
          <w:szCs w:val="24"/>
        </w:rPr>
        <w:lastRenderedPageBreak/>
        <w:t xml:space="preserve">As a corporate lawyer, advice KCB on the remedies available to them and the option that you think is most suitable under the circumstances. </w:t>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b/>
          <w:bCs/>
          <w:sz w:val="24"/>
          <w:szCs w:val="24"/>
        </w:rPr>
        <w:t>(12 marks)</w:t>
      </w:r>
    </w:p>
    <w:p w:rsidR="00520114" w:rsidRDefault="001111DB">
      <w:pPr>
        <w:numPr>
          <w:ilvl w:val="0"/>
          <w:numId w:val="4"/>
        </w:numPr>
        <w:spacing w:after="0" w:line="360" w:lineRule="auto"/>
        <w:ind w:right="5"/>
        <w:jc w:val="both"/>
        <w:rPr>
          <w:rFonts w:ascii="Garamond" w:hAnsi="Garamond"/>
          <w:sz w:val="24"/>
          <w:szCs w:val="24"/>
        </w:rPr>
      </w:pPr>
      <w:r>
        <w:rPr>
          <w:rFonts w:ascii="Garamond" w:hAnsi="Garamond"/>
          <w:sz w:val="24"/>
          <w:szCs w:val="24"/>
        </w:rPr>
        <w:t>What steps need to be followed to endure sufficient notice is</w:t>
      </w:r>
      <w:r>
        <w:rPr>
          <w:rFonts w:ascii="Garamond" w:hAnsi="Garamond"/>
          <w:sz w:val="24"/>
          <w:szCs w:val="24"/>
        </w:rPr>
        <w:t xml:space="preserve"> give to Mr. Ndeleva </w:t>
      </w:r>
    </w:p>
    <w:p w:rsidR="00520114" w:rsidRDefault="001111DB">
      <w:pPr>
        <w:spacing w:after="0" w:line="360" w:lineRule="auto"/>
        <w:ind w:left="7200" w:right="5" w:firstLine="720"/>
        <w:jc w:val="both"/>
        <w:rPr>
          <w:rFonts w:ascii="Garamond" w:hAnsi="Garamond"/>
          <w:sz w:val="24"/>
          <w:szCs w:val="24"/>
        </w:rPr>
      </w:pPr>
      <w:r>
        <w:rPr>
          <w:rFonts w:ascii="Garamond" w:hAnsi="Garamond"/>
          <w:b/>
          <w:bCs/>
          <w:sz w:val="24"/>
          <w:szCs w:val="24"/>
        </w:rPr>
        <w:t>(8</w:t>
      </w:r>
      <w:r>
        <w:rPr>
          <w:rFonts w:ascii="Garamond" w:eastAsia="Segoe UI" w:hAnsi="Garamond"/>
          <w:b/>
          <w:sz w:val="24"/>
          <w:szCs w:val="24"/>
        </w:rPr>
        <w:t xml:space="preserve"> marks)</w:t>
      </w:r>
    </w:p>
    <w:p w:rsidR="00520114" w:rsidRDefault="00520114">
      <w:pPr>
        <w:spacing w:after="313" w:line="259" w:lineRule="auto"/>
        <w:ind w:right="5"/>
        <w:jc w:val="both"/>
        <w:rPr>
          <w:rFonts w:ascii="Garamond" w:hAnsi="Garamond"/>
          <w:sz w:val="24"/>
          <w:szCs w:val="24"/>
        </w:rPr>
      </w:pPr>
    </w:p>
    <w:p w:rsidR="00520114" w:rsidRDefault="001111DB">
      <w:pPr>
        <w:rPr>
          <w:rFonts w:ascii="Garamond" w:hAnsi="Garamond"/>
          <w:b/>
          <w:bCs/>
          <w:sz w:val="24"/>
          <w:szCs w:val="24"/>
        </w:rPr>
      </w:pPr>
      <w:r>
        <w:rPr>
          <w:rFonts w:ascii="Garamond" w:hAnsi="Garamond"/>
          <w:b/>
          <w:bCs/>
          <w:sz w:val="24"/>
          <w:szCs w:val="24"/>
        </w:rPr>
        <w:t>Question five</w:t>
      </w:r>
    </w:p>
    <w:p w:rsidR="00520114" w:rsidRDefault="001111DB">
      <w:pPr>
        <w:rPr>
          <w:rFonts w:ascii="Garamond" w:hAnsi="Garamond"/>
          <w:b/>
          <w:bCs/>
          <w:sz w:val="24"/>
          <w:szCs w:val="24"/>
        </w:rPr>
      </w:pPr>
      <w:r>
        <w:rPr>
          <w:rFonts w:ascii="Garamond" w:hAnsi="Garamond"/>
          <w:b/>
          <w:bCs/>
          <w:sz w:val="24"/>
          <w:szCs w:val="24"/>
        </w:rPr>
        <w:t xml:space="preserve">Write short notes on </w:t>
      </w:r>
    </w:p>
    <w:p w:rsidR="00520114" w:rsidRDefault="001111DB">
      <w:pPr>
        <w:numPr>
          <w:ilvl w:val="0"/>
          <w:numId w:val="5"/>
        </w:numPr>
        <w:rPr>
          <w:rFonts w:ascii="Garamond" w:hAnsi="Garamond"/>
          <w:b/>
          <w:bCs/>
          <w:sz w:val="24"/>
          <w:szCs w:val="24"/>
        </w:rPr>
      </w:pPr>
      <w:r>
        <w:rPr>
          <w:rFonts w:ascii="Garamond" w:hAnsi="Garamond"/>
          <w:sz w:val="24"/>
          <w:szCs w:val="24"/>
        </w:rPr>
        <w:t xml:space="preserve">How to determine contribution in matrimonial property </w:t>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b/>
          <w:bCs/>
          <w:sz w:val="24"/>
          <w:szCs w:val="24"/>
        </w:rPr>
        <w:t>(10 Marks)</w:t>
      </w:r>
    </w:p>
    <w:p w:rsidR="00520114" w:rsidRDefault="001111DB">
      <w:pPr>
        <w:numPr>
          <w:ilvl w:val="0"/>
          <w:numId w:val="5"/>
        </w:numPr>
        <w:rPr>
          <w:rFonts w:ascii="Garamond" w:hAnsi="Garamond"/>
          <w:sz w:val="24"/>
          <w:szCs w:val="24"/>
        </w:rPr>
      </w:pPr>
      <w:r>
        <w:rPr>
          <w:rFonts w:ascii="Garamond" w:hAnsi="Garamond"/>
          <w:sz w:val="24"/>
          <w:szCs w:val="24"/>
        </w:rPr>
        <w:t>The Difference between a licensee and a lessee</w:t>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ab/>
      </w:r>
      <w:r>
        <w:rPr>
          <w:rFonts w:ascii="Garamond" w:hAnsi="Garamond"/>
          <w:sz w:val="24"/>
          <w:szCs w:val="24"/>
        </w:rPr>
        <w:t xml:space="preserve"> </w:t>
      </w:r>
      <w:r>
        <w:rPr>
          <w:rFonts w:ascii="Garamond" w:hAnsi="Garamond"/>
          <w:b/>
          <w:bCs/>
          <w:sz w:val="24"/>
          <w:szCs w:val="24"/>
        </w:rPr>
        <w:t>(10 marks)</w:t>
      </w:r>
    </w:p>
    <w:sectPr w:rsidR="00520114">
      <w:headerReference w:type="default" r:id="rId13"/>
      <w:foot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0114" w:rsidRDefault="001111DB">
      <w:pPr>
        <w:spacing w:line="240" w:lineRule="auto"/>
      </w:pPr>
      <w:r>
        <w:separator/>
      </w:r>
    </w:p>
  </w:endnote>
  <w:endnote w:type="continuationSeparator" w:id="0">
    <w:p w:rsidR="00520114" w:rsidRDefault="001111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SimSun"/>
    <w:charset w:val="86"/>
    <w:family w:val="swiss"/>
    <w:pitch w:val="default"/>
    <w:sig w:usb0="00000000" w:usb1="00000000"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altName w:val="Segoe Print"/>
    <w:charset w:val="00"/>
    <w:family w:val="swiss"/>
    <w:pitch w:val="default"/>
    <w:sig w:usb0="00000000" w:usb1="00000000" w:usb2="00000000" w:usb3="00000000" w:csb0="0000019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等线 Light">
    <w:altName w:val="Segoe Print"/>
    <w:charset w:val="00"/>
    <w:family w:val="auto"/>
    <w:pitch w:val="default"/>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114" w:rsidRDefault="001111DB">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520114" w:rsidRDefault="001111DB">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520114" w:rsidRDefault="001111DB">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0114" w:rsidRDefault="001111DB">
      <w:pPr>
        <w:spacing w:after="0"/>
      </w:pPr>
      <w:r>
        <w:separator/>
      </w:r>
    </w:p>
  </w:footnote>
  <w:footnote w:type="continuationSeparator" w:id="0">
    <w:p w:rsidR="00520114" w:rsidRDefault="001111D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114" w:rsidRDefault="0052011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9E2C40"/>
    <w:multiLevelType w:val="multilevel"/>
    <w:tmpl w:val="0C9E2C40"/>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5EB7DD5"/>
    <w:multiLevelType w:val="multilevel"/>
    <w:tmpl w:val="15EB7DD5"/>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E4D334B"/>
    <w:multiLevelType w:val="multilevel"/>
    <w:tmpl w:val="4E4D334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790A403F"/>
    <w:multiLevelType w:val="multilevel"/>
    <w:tmpl w:val="790A403F"/>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AED2F46"/>
    <w:multiLevelType w:val="multilevel"/>
    <w:tmpl w:val="7AED2F46"/>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565"/>
    <w:rsid w:val="00026F3F"/>
    <w:rsid w:val="001111DB"/>
    <w:rsid w:val="00195520"/>
    <w:rsid w:val="001C3AC9"/>
    <w:rsid w:val="001D1FE6"/>
    <w:rsid w:val="001E79C7"/>
    <w:rsid w:val="0025357C"/>
    <w:rsid w:val="002D2ADD"/>
    <w:rsid w:val="00392B6F"/>
    <w:rsid w:val="003F6D86"/>
    <w:rsid w:val="00495171"/>
    <w:rsid w:val="004D25CF"/>
    <w:rsid w:val="00520114"/>
    <w:rsid w:val="005626FA"/>
    <w:rsid w:val="00647A7F"/>
    <w:rsid w:val="00670765"/>
    <w:rsid w:val="006C3914"/>
    <w:rsid w:val="008840C4"/>
    <w:rsid w:val="008A3924"/>
    <w:rsid w:val="00903538"/>
    <w:rsid w:val="00946B88"/>
    <w:rsid w:val="0098154B"/>
    <w:rsid w:val="00994F6E"/>
    <w:rsid w:val="00A042F4"/>
    <w:rsid w:val="00A23565"/>
    <w:rsid w:val="00BC1D03"/>
    <w:rsid w:val="00C35EAB"/>
    <w:rsid w:val="00DA314B"/>
    <w:rsid w:val="00DE1D93"/>
    <w:rsid w:val="00E70DFB"/>
    <w:rsid w:val="00E83153"/>
    <w:rsid w:val="00EA1BF0"/>
    <w:rsid w:val="00F304A2"/>
    <w:rsid w:val="00F817B0"/>
    <w:rsid w:val="7CF1248E"/>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3B1A62-623A-4E62-8C83-6F7AC5224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Aptos" w:hAnsi="Apto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Calibri" w:eastAsia="Calibri" w:hAnsi="Calibri"/>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Aptos Display" w:eastAsia="Times New Roman" w:hAnsi="Aptos Di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Aptos Display" w:eastAsia="Times New Roman" w:hAnsi="Aptos Di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imes New Roman"/>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imes New Roman"/>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imes New Roman"/>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imes New Roman"/>
      <w:i/>
      <w:iCs/>
      <w:color w:val="595959"/>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imes New Roman"/>
      <w:color w:val="595959"/>
    </w:rPr>
  </w:style>
  <w:style w:type="paragraph" w:styleId="Heading8">
    <w:name w:val="heading 8"/>
    <w:basedOn w:val="Normal"/>
    <w:next w:val="Normal"/>
    <w:link w:val="Heading8Char"/>
    <w:uiPriority w:val="9"/>
    <w:semiHidden/>
    <w:unhideWhenUsed/>
    <w:qFormat/>
    <w:pPr>
      <w:keepNext/>
      <w:keepLines/>
      <w:spacing w:after="0"/>
      <w:outlineLvl w:val="7"/>
    </w:pPr>
    <w:rPr>
      <w:rFonts w:eastAsia="Times New Roman"/>
      <w:i/>
      <w:iCs/>
      <w:color w:val="272727"/>
    </w:rPr>
  </w:style>
  <w:style w:type="paragraph" w:styleId="Heading9">
    <w:name w:val="heading 9"/>
    <w:basedOn w:val="Normal"/>
    <w:next w:val="Normal"/>
    <w:link w:val="Heading9Char"/>
    <w:uiPriority w:val="9"/>
    <w:semiHidden/>
    <w:unhideWhenUsed/>
    <w:qFormat/>
    <w:pPr>
      <w:keepNext/>
      <w:keepLines/>
      <w:spacing w:after="0"/>
      <w:outlineLvl w:val="8"/>
    </w:pPr>
    <w:rPr>
      <w:rFonts w:eastAsia="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character" w:styleId="Hyperlink">
    <w:name w:val="Hyperlink"/>
    <w:uiPriority w:val="99"/>
    <w:unhideWhenUsed/>
    <w:rPr>
      <w:color w:val="467886"/>
      <w:u w:val="single"/>
    </w:rPr>
  </w:style>
  <w:style w:type="paragraph" w:styleId="Subtitle">
    <w:name w:val="Subtitle"/>
    <w:basedOn w:val="Normal"/>
    <w:next w:val="Normal"/>
    <w:link w:val="SubtitleChar"/>
    <w:uiPriority w:val="11"/>
    <w:qFormat/>
    <w:rPr>
      <w:rFonts w:eastAsia="Times New Roman"/>
      <w:color w:val="595959"/>
      <w:spacing w:val="15"/>
      <w:sz w:val="28"/>
      <w:szCs w:val="28"/>
    </w:rPr>
  </w:style>
  <w:style w:type="paragraph" w:styleId="Title">
    <w:name w:val="Title"/>
    <w:basedOn w:val="Normal"/>
    <w:next w:val="Normal"/>
    <w:link w:val="TitleChar"/>
    <w:uiPriority w:val="10"/>
    <w:qFormat/>
    <w:pPr>
      <w:spacing w:after="80" w:line="240" w:lineRule="auto"/>
      <w:contextualSpacing/>
    </w:pPr>
    <w:rPr>
      <w:rFonts w:ascii="Aptos Display" w:eastAsia="Times New Roman" w:hAnsi="Aptos Display"/>
      <w:spacing w:val="-10"/>
      <w:kern w:val="28"/>
      <w:sz w:val="56"/>
      <w:szCs w:val="56"/>
    </w:rPr>
  </w:style>
  <w:style w:type="character" w:customStyle="1" w:styleId="Heading1Char">
    <w:name w:val="Heading 1 Char"/>
    <w:link w:val="Heading1"/>
    <w:uiPriority w:val="9"/>
    <w:rPr>
      <w:rFonts w:ascii="Aptos Display" w:eastAsia="Times New Roman" w:hAnsi="Aptos Display" w:cs="Times New Roman"/>
      <w:color w:val="0F4761"/>
      <w:sz w:val="40"/>
      <w:szCs w:val="40"/>
    </w:rPr>
  </w:style>
  <w:style w:type="character" w:customStyle="1" w:styleId="Heading2Char">
    <w:name w:val="Heading 2 Char"/>
    <w:link w:val="Heading2"/>
    <w:uiPriority w:val="9"/>
    <w:semiHidden/>
    <w:rPr>
      <w:rFonts w:ascii="Aptos Display" w:eastAsia="Times New Roman" w:hAnsi="Aptos Display" w:cs="Times New Roman"/>
      <w:color w:val="0F4761"/>
      <w:sz w:val="32"/>
      <w:szCs w:val="32"/>
    </w:rPr>
  </w:style>
  <w:style w:type="character" w:customStyle="1" w:styleId="Heading3Char">
    <w:name w:val="Heading 3 Char"/>
    <w:link w:val="Heading3"/>
    <w:uiPriority w:val="9"/>
    <w:semiHidden/>
    <w:rPr>
      <w:rFonts w:eastAsia="Times New Roman" w:cs="Times New Roman"/>
      <w:color w:val="0F4761"/>
      <w:sz w:val="28"/>
      <w:szCs w:val="28"/>
    </w:rPr>
  </w:style>
  <w:style w:type="character" w:customStyle="1" w:styleId="Heading4Char">
    <w:name w:val="Heading 4 Char"/>
    <w:link w:val="Heading4"/>
    <w:uiPriority w:val="9"/>
    <w:semiHidden/>
    <w:rPr>
      <w:rFonts w:eastAsia="Times New Roman" w:cs="Times New Roman"/>
      <w:i/>
      <w:iCs/>
      <w:color w:val="0F4761"/>
    </w:rPr>
  </w:style>
  <w:style w:type="character" w:customStyle="1" w:styleId="Heading5Char">
    <w:name w:val="Heading 5 Char"/>
    <w:link w:val="Heading5"/>
    <w:uiPriority w:val="9"/>
    <w:semiHidden/>
    <w:rPr>
      <w:rFonts w:eastAsia="Times New Roman" w:cs="Times New Roman"/>
      <w:color w:val="0F4761"/>
    </w:rPr>
  </w:style>
  <w:style w:type="character" w:customStyle="1" w:styleId="Heading6Char">
    <w:name w:val="Heading 6 Char"/>
    <w:link w:val="Heading6"/>
    <w:uiPriority w:val="9"/>
    <w:semiHidden/>
    <w:rPr>
      <w:rFonts w:eastAsia="Times New Roman" w:cs="Times New Roman"/>
      <w:i/>
      <w:iCs/>
      <w:color w:val="595959"/>
    </w:rPr>
  </w:style>
  <w:style w:type="character" w:customStyle="1" w:styleId="Heading7Char">
    <w:name w:val="Heading 7 Char"/>
    <w:link w:val="Heading7"/>
    <w:uiPriority w:val="9"/>
    <w:semiHidden/>
    <w:rPr>
      <w:rFonts w:eastAsia="Times New Roman" w:cs="Times New Roman"/>
      <w:color w:val="595959"/>
    </w:rPr>
  </w:style>
  <w:style w:type="character" w:customStyle="1" w:styleId="Heading8Char">
    <w:name w:val="Heading 8 Char"/>
    <w:link w:val="Heading8"/>
    <w:uiPriority w:val="9"/>
    <w:semiHidden/>
    <w:rPr>
      <w:rFonts w:eastAsia="Times New Roman" w:cs="Times New Roman"/>
      <w:i/>
      <w:iCs/>
      <w:color w:val="272727"/>
    </w:rPr>
  </w:style>
  <w:style w:type="character" w:customStyle="1" w:styleId="Heading9Char">
    <w:name w:val="Heading 9 Char"/>
    <w:link w:val="Heading9"/>
    <w:uiPriority w:val="9"/>
    <w:semiHidden/>
    <w:rPr>
      <w:rFonts w:eastAsia="Times New Roman" w:cs="Times New Roman"/>
      <w:color w:val="272727"/>
    </w:rPr>
  </w:style>
  <w:style w:type="character" w:customStyle="1" w:styleId="TitleChar">
    <w:name w:val="Title Char"/>
    <w:link w:val="Title"/>
    <w:uiPriority w:val="10"/>
    <w:rPr>
      <w:rFonts w:ascii="Aptos Display" w:eastAsia="Times New Roman" w:hAnsi="Aptos Display" w:cs="Times New Roman"/>
      <w:spacing w:val="-10"/>
      <w:kern w:val="28"/>
      <w:sz w:val="56"/>
      <w:szCs w:val="56"/>
    </w:rPr>
  </w:style>
  <w:style w:type="character" w:customStyle="1" w:styleId="SubtitleChar">
    <w:name w:val="Subtitle Char"/>
    <w:link w:val="Subtitle"/>
    <w:uiPriority w:val="11"/>
    <w:rPr>
      <w:rFonts w:eastAsia="Times New Roman" w:cs="Times New Roman"/>
      <w:color w:val="595959"/>
      <w:spacing w:val="15"/>
      <w:sz w:val="28"/>
      <w:szCs w:val="28"/>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link w:val="Quote"/>
    <w:uiPriority w:val="29"/>
    <w:rPr>
      <w:i/>
      <w:iCs/>
      <w:color w:val="404040"/>
    </w:rPr>
  </w:style>
  <w:style w:type="paragraph" w:styleId="ListParagraph">
    <w:name w:val="List Paragraph"/>
    <w:basedOn w:val="Normal"/>
    <w:uiPriority w:val="34"/>
    <w:qFormat/>
    <w:pPr>
      <w:ind w:left="720"/>
      <w:contextualSpacing/>
    </w:pPr>
  </w:style>
  <w:style w:type="character" w:customStyle="1" w:styleId="IntenseEmphasis1">
    <w:name w:val="Intense Emphasis1"/>
    <w:uiPriority w:val="21"/>
    <w:qFormat/>
    <w:rPr>
      <w:i/>
      <w:iCs/>
      <w:color w:val="0F4761"/>
    </w:rPr>
  </w:style>
  <w:style w:type="paragraph" w:styleId="IntenseQuote">
    <w:name w:val="Intense Quote"/>
    <w:basedOn w:val="Normal"/>
    <w:next w:val="Normal"/>
    <w:link w:val="IntenseQuoteChar"/>
    <w:uiPriority w:val="30"/>
    <w:qFormat/>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link w:val="IntenseQuote"/>
    <w:uiPriority w:val="30"/>
    <w:qFormat/>
    <w:rPr>
      <w:i/>
      <w:iCs/>
      <w:color w:val="0F4761"/>
    </w:rPr>
  </w:style>
  <w:style w:type="character" w:customStyle="1" w:styleId="IntenseReference1">
    <w:name w:val="Intense Reference1"/>
    <w:uiPriority w:val="32"/>
    <w:qFormat/>
    <w:rPr>
      <w:b/>
      <w:bCs/>
      <w:smallCaps/>
      <w:color w:val="0F4761"/>
      <w:spacing w:val="5"/>
    </w:rPr>
  </w:style>
  <w:style w:type="character" w:customStyle="1" w:styleId="UnresolvedMention">
    <w:name w:val="Unresolved Mention"/>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ew.kenyalaw.org/akn/ke/act/2012/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ew.kenyalaw.org/akn/ke/act/2012/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new.kenyalaw.org/akn/ke/act/2015/4" TargetMode="External"/><Relationship Id="rId4" Type="http://schemas.openxmlformats.org/officeDocument/2006/relationships/settings" Target="settings.xml"/><Relationship Id="rId9" Type="http://schemas.openxmlformats.org/officeDocument/2006/relationships/hyperlink" Target="https://new.kenyalaw.org/akn/ke/act/2010/constitution"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1334</Words>
  <Characters>7604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Milcah Kithinji</dc:creator>
  <cp:lastModifiedBy>user</cp:lastModifiedBy>
  <cp:revision>3</cp:revision>
  <cp:lastPrinted>2025-04-28T10:01:00Z</cp:lastPrinted>
  <dcterms:created xsi:type="dcterms:W3CDTF">2025-03-29T19:11:00Z</dcterms:created>
  <dcterms:modified xsi:type="dcterms:W3CDTF">2025-08-04T08:31:00Z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C93284170A6143AB87038180E5CAEF23_12</vt:lpwstr>
  </property>
</Properties>
</file>