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DFE19">
      <w:pPr>
        <w:pStyle w:val="8"/>
        <w:framePr w:hRule="auto" w:wrap="auto" w:vAnchor="margin" w:hAnchor="text" w:yAlign="inline"/>
        <w:jc w:val="center"/>
        <w:rPr>
          <w:rFonts w:ascii="Times New Roman" w:hAnsi="Times New Roman"/>
          <w:sz w:val="24"/>
          <w:szCs w:val="24"/>
        </w:rPr>
      </w:pPr>
      <w:r>
        <w:rPr>
          <w:rFonts w:ascii="Times New Roman" w:hAnsi="Times New Roman"/>
          <w:sz w:val="24"/>
          <w:szCs w:val="24"/>
        </w:rPr>
        <w:drawing>
          <wp:inline distT="0" distB="0" distL="0" distR="0">
            <wp:extent cx="1584960" cy="1076960"/>
            <wp:effectExtent l="0" t="0" r="0" b="0"/>
            <wp:docPr id="1073741825" name="officeArt object"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RU LOGO PNG"/>
                    <pic:cNvPicPr>
                      <a:picLocks noChangeAspect="1"/>
                    </pic:cNvPicPr>
                  </pic:nvPicPr>
                  <pic:blipFill>
                    <a:blip r:embed="rId8"/>
                    <a:stretch>
                      <a:fillRect/>
                    </a:stretch>
                  </pic:blipFill>
                  <pic:spPr>
                    <a:xfrm>
                      <a:off x="0" y="0"/>
                      <a:ext cx="1584960" cy="1076960"/>
                    </a:xfrm>
                    <a:prstGeom prst="rect">
                      <a:avLst/>
                    </a:prstGeom>
                    <a:ln w="12700" cap="flat">
                      <a:noFill/>
                      <a:miter lim="400000"/>
                      <a:headEnd/>
                      <a:tailEnd/>
                    </a:ln>
                    <a:effectLst/>
                  </pic:spPr>
                </pic:pic>
              </a:graphicData>
            </a:graphic>
          </wp:inline>
        </w:drawing>
      </w:r>
    </w:p>
    <w:p w14:paraId="57A8BFD5">
      <w:pPr>
        <w:pStyle w:val="9"/>
        <w:keepLines/>
        <w:framePr w:hRule="auto" w:wrap="auto" w:vAnchor="margin" w:hAnchor="text" w:yAlign="inline"/>
        <w:jc w:val="center"/>
        <w:rPr>
          <w:rFonts w:ascii="Times New Roman" w:hAnsi="Times New Roman" w:eastAsia="Times New Roman" w:cs="Times New Roman"/>
          <w:sz w:val="24"/>
          <w:szCs w:val="24"/>
        </w:rPr>
      </w:pPr>
      <w:r>
        <w:rPr>
          <w:rFonts w:ascii="Times New Roman" w:hAnsi="Times New Roman"/>
          <w:sz w:val="24"/>
          <w:szCs w:val="24"/>
          <w:rtl w:val="0"/>
          <w:lang w:val="de-DE"/>
        </w:rPr>
        <w:t>RIARA LAW SCHOOL</w:t>
      </w:r>
    </w:p>
    <w:p w14:paraId="68720422">
      <w:pPr>
        <w:pStyle w:val="9"/>
        <w:keepLines/>
        <w:framePr w:hRule="auto" w:wrap="auto" w:vAnchor="margin" w:hAnchor="text" w:yAlign="inline"/>
        <w:spacing w:before="240"/>
        <w:jc w:val="center"/>
        <w:rPr>
          <w:rFonts w:ascii="Times New Roman" w:hAnsi="Times New Roman" w:eastAsia="Times New Roman" w:cs="Times New Roman"/>
          <w:sz w:val="24"/>
          <w:szCs w:val="24"/>
        </w:rPr>
      </w:pPr>
      <w:r>
        <w:rPr>
          <w:rFonts w:ascii="Times New Roman" w:hAnsi="Times New Roman"/>
          <w:sz w:val="24"/>
          <w:szCs w:val="24"/>
          <w:rtl w:val="0"/>
          <w:lang w:val="de-DE"/>
        </w:rPr>
        <w:t>UNIVERSITY EXAMINATION FOR BACHELOR OF LAWS (LLB) DEGREE</w:t>
      </w:r>
    </w:p>
    <w:p w14:paraId="20FC142B">
      <w:pPr>
        <w:pStyle w:val="9"/>
        <w:keepLines/>
        <w:framePr w:hRule="auto" w:wrap="auto" w:vAnchor="margin" w:hAnchor="text" w:yAlign="inline"/>
        <w:spacing w:before="240"/>
        <w:jc w:val="center"/>
        <w:rPr>
          <w:rFonts w:ascii="Times New Roman" w:hAnsi="Times New Roman" w:eastAsia="Times New Roman" w:cs="Times New Roman"/>
          <w:sz w:val="24"/>
          <w:szCs w:val="24"/>
          <w:lang w:val="en-US"/>
        </w:rPr>
      </w:pPr>
      <w:r>
        <w:rPr>
          <w:rFonts w:ascii="Times New Roman" w:hAnsi="Times New Roman"/>
          <w:sz w:val="24"/>
          <w:szCs w:val="24"/>
          <w:rtl w:val="0"/>
          <w:lang w:val="en-US"/>
        </w:rPr>
        <w:t xml:space="preserve">RLB 319:  REGIONAL INTEGRATION LAW </w:t>
      </w:r>
    </w:p>
    <w:p w14:paraId="341FF87D">
      <w:pPr>
        <w:pStyle w:val="9"/>
        <w:keepLines/>
        <w:framePr w:hRule="auto" w:wrap="auto" w:vAnchor="margin" w:hAnchor="text" w:yAlign="inline"/>
        <w:spacing w:before="240"/>
        <w:jc w:val="center"/>
        <w:rPr>
          <w:rFonts w:ascii="Times New Roman" w:hAnsi="Times New Roman" w:eastAsia="Times New Roman" w:cs="Times New Roman"/>
          <w:sz w:val="24"/>
          <w:szCs w:val="24"/>
        </w:rPr>
      </w:pPr>
      <w:r>
        <w:rPr>
          <w:rFonts w:ascii="Times New Roman" w:hAnsi="Times New Roman"/>
          <w:sz w:val="24"/>
          <w:szCs w:val="24"/>
          <w:rtl w:val="0"/>
          <w:lang w:val="de-DE"/>
        </w:rPr>
        <w:t>INSTRUCTOR: Dr. VICTOR LANDO</w:t>
      </w:r>
    </w:p>
    <w:p w14:paraId="07353309">
      <w:pPr>
        <w:pStyle w:val="8"/>
        <w:framePr w:hRule="auto" w:wrap="auto" w:vAnchor="margin" w:hAnchor="text" w:yAlign="inline"/>
        <w:spacing w:after="120"/>
        <w:jc w:val="center"/>
        <w:rPr>
          <w:rFonts w:ascii="Times New Roman" w:hAnsi="Times New Roman" w:eastAsia="Times New Roman" w:cs="Times New Roman"/>
          <w:b/>
          <w:bCs/>
          <w:sz w:val="24"/>
          <w:szCs w:val="24"/>
          <w:u w:val="single"/>
        </w:rPr>
      </w:pPr>
    </w:p>
    <w:p w14:paraId="2A398EB6">
      <w:pPr>
        <w:pStyle w:val="8"/>
        <w:framePr w:hRule="auto" w:wrap="auto" w:vAnchor="margin" w:hAnchor="text" w:yAlign="inline"/>
        <w:spacing w:after="120"/>
        <w:jc w:val="center"/>
        <w:rPr>
          <w:rFonts w:ascii="Times New Roman" w:hAnsi="Times New Roman" w:eastAsia="Times New Roman" w:cs="Times New Roman"/>
          <w:sz w:val="24"/>
          <w:szCs w:val="24"/>
        </w:rPr>
      </w:pPr>
      <w:r>
        <w:rPr>
          <w:rFonts w:ascii="Times New Roman" w:hAnsi="Times New Roman"/>
          <w:b/>
          <w:bCs/>
          <w:sz w:val="24"/>
          <w:szCs w:val="24"/>
          <w:u w:val="single"/>
          <w:rtl w:val="0"/>
          <w:lang w:val="en-US"/>
        </w:rPr>
        <w:t>INSTRUCTIONS</w:t>
      </w:r>
    </w:p>
    <w:p w14:paraId="5AD7FD6E">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This is the final examination in Regional Integration Law.  You will earn 70% of your final grade from this final examination and 30% from Continuous Assessment Assignments.</w:t>
      </w:r>
    </w:p>
    <w:p w14:paraId="3455B183">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 xml:space="preserve">This examination has </w:t>
      </w:r>
      <w:r>
        <w:rPr>
          <w:rFonts w:ascii="Times New Roman" w:hAnsi="Times New Roman"/>
          <w:b/>
          <w:bCs/>
          <w:u w:val="single"/>
          <w:rtl w:val="0"/>
          <w:lang w:val="en-US"/>
        </w:rPr>
        <w:t>THREE</w:t>
      </w:r>
      <w:r>
        <w:rPr>
          <w:rFonts w:ascii="Times New Roman" w:hAnsi="Times New Roman"/>
          <w:b/>
          <w:bCs/>
          <w:rtl w:val="0"/>
          <w:lang w:val="en-US"/>
        </w:rPr>
        <w:t xml:space="preserve"> </w:t>
      </w:r>
      <w:r>
        <w:rPr>
          <w:rFonts w:ascii="Times New Roman" w:hAnsi="Times New Roman"/>
          <w:rtl w:val="0"/>
          <w:lang w:val="en-US"/>
        </w:rPr>
        <w:t xml:space="preserve">questions.  Please answer </w:t>
      </w:r>
      <w:r>
        <w:rPr>
          <w:rFonts w:ascii="Times New Roman" w:hAnsi="Times New Roman"/>
          <w:b/>
          <w:bCs/>
          <w:u w:val="single"/>
          <w:rtl w:val="0"/>
          <w:lang w:val="en-US"/>
        </w:rPr>
        <w:t>ALL THREE QUESTIONS</w:t>
      </w:r>
      <w:r>
        <w:rPr>
          <w:rFonts w:ascii="Times New Roman" w:hAnsi="Times New Roman"/>
          <w:rtl w:val="0"/>
          <w:lang w:val="en-US"/>
        </w:rPr>
        <w:t>.</w:t>
      </w:r>
    </w:p>
    <w:p w14:paraId="7A946B0D">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This examination has 5 pages, including this one.</w:t>
      </w:r>
    </w:p>
    <w:p w14:paraId="67C23D91">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 xml:space="preserve">Time allocated for this examination is </w:t>
      </w:r>
      <w:r>
        <w:rPr>
          <w:rFonts w:ascii="Times New Roman" w:hAnsi="Times New Roman"/>
          <w:b/>
          <w:bCs/>
          <w:u w:val="single"/>
          <w:rtl w:val="0"/>
          <w:lang w:val="en-US"/>
        </w:rPr>
        <w:t xml:space="preserve">TWO </w:t>
      </w:r>
      <w:r>
        <w:rPr>
          <w:rFonts w:ascii="Times New Roman" w:hAnsi="Times New Roman"/>
          <w:rtl w:val="0"/>
          <w:lang w:val="en-US"/>
        </w:rPr>
        <w:t>(2) hours. You must stop writing when time is called.</w:t>
      </w:r>
    </w:p>
    <w:p w14:paraId="4AFB0A0A">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Please sign the roll sheet when you turn in your answer sheet.  If you fail to sign the roll sheet, we shall have no way of establishing that you sat for this examination and your marks will not be reported.</w:t>
      </w:r>
    </w:p>
    <w:p w14:paraId="1678AEAD">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 xml:space="preserve">This is a </w:t>
      </w:r>
      <w:r>
        <w:rPr>
          <w:rFonts w:ascii="Times New Roman" w:hAnsi="Times New Roman"/>
          <w:b/>
          <w:bCs/>
          <w:u w:val="single"/>
          <w:rtl w:val="0"/>
          <w:lang w:val="en-US"/>
        </w:rPr>
        <w:t>CLOSED BOOK</w:t>
      </w:r>
      <w:r>
        <w:rPr>
          <w:rFonts w:ascii="Times New Roman" w:hAnsi="Times New Roman"/>
          <w:rtl w:val="0"/>
          <w:lang w:val="en-US"/>
        </w:rPr>
        <w:t xml:space="preserve"> examination.  This means that you are not permitted to bring </w:t>
      </w:r>
      <w:r>
        <w:rPr>
          <w:rFonts w:ascii="Times New Roman" w:hAnsi="Times New Roman"/>
          <w:b/>
          <w:bCs/>
          <w:rtl w:val="0"/>
          <w:lang w:val="en-US"/>
        </w:rPr>
        <w:t xml:space="preserve">ANY </w:t>
      </w:r>
      <w:r>
        <w:rPr>
          <w:rFonts w:ascii="Times New Roman" w:hAnsi="Times New Roman"/>
          <w:rtl w:val="0"/>
          <w:lang w:val="en-US"/>
        </w:rPr>
        <w:t>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06556054">
      <w:pPr>
        <w:pStyle w:val="10"/>
        <w:framePr w:hRule="auto" w:wrap="auto" w:vAnchor="margin" w:hAnchor="text" w:yAlign="inline"/>
        <w:numPr>
          <w:ilvl w:val="0"/>
          <w:numId w:val="1"/>
        </w:numPr>
        <w:bidi w:val="0"/>
        <w:spacing w:before="0" w:after="120" w:line="360" w:lineRule="auto"/>
        <w:ind w:right="0"/>
        <w:jc w:val="both"/>
        <w:rPr>
          <w:rFonts w:ascii="Times New Roman" w:hAnsi="Times New Roman"/>
          <w:rtl w:val="0"/>
          <w:lang w:val="en-US"/>
        </w:rPr>
      </w:pPr>
      <w:r>
        <w:rPr>
          <w:rFonts w:ascii="Times New Roman" w:hAnsi="Times New Roman"/>
          <w:rtl w:val="0"/>
          <w:lang w:val="en-US"/>
        </w:rPr>
        <w:t xml:space="preserve">This examination is governed by </w:t>
      </w:r>
      <w:r>
        <w:rPr>
          <w:rFonts w:ascii="Times New Roman" w:hAnsi="Times New Roman"/>
          <w:b/>
          <w:bCs/>
          <w:u w:val="single"/>
          <w:rtl w:val="0"/>
          <w:lang w:val="en-US"/>
        </w:rPr>
        <w:t>Riara University Academic Honesty Regulations</w:t>
      </w:r>
      <w:r>
        <w:rPr>
          <w:rFonts w:ascii="Times New Roman" w:hAnsi="Times New Roman"/>
          <w:rtl w:val="0"/>
          <w:lang w:val="en-US"/>
        </w:rPr>
        <w:t>. Students who violate those regulations will be penalized.  Students have an obligation to report to the invigilator any incidences of academic dishonesty compromising the integrity of this examination.</w:t>
      </w:r>
    </w:p>
    <w:p w14:paraId="38F67AB5">
      <w:pPr>
        <w:pStyle w:val="8"/>
        <w:framePr w:hRule="auto" w:wrap="auto" w:vAnchor="margin" w:hAnchor="text" w:yAlign="inline"/>
        <w:spacing w:line="360" w:lineRule="auto"/>
        <w:rPr>
          <w:rFonts w:ascii="Times New Roman" w:hAnsi="Times New Roman" w:eastAsia="Times New Roman" w:cs="Times New Roman"/>
        </w:rPr>
      </w:pPr>
    </w:p>
    <w:p w14:paraId="16A469FC">
      <w:pPr>
        <w:pStyle w:val="8"/>
        <w:framePr w:hRule="auto" w:wrap="auto" w:vAnchor="margin" w:hAnchor="text" w:yAlign="inline"/>
        <w:spacing w:line="360" w:lineRule="auto"/>
        <w:rPr>
          <w:rFonts w:ascii="Times New Roman" w:hAnsi="Times New Roman" w:eastAsia="Times New Roman" w:cs="Times New Roman"/>
        </w:rPr>
      </w:pPr>
    </w:p>
    <w:p w14:paraId="31140AA3">
      <w:pPr>
        <w:pStyle w:val="8"/>
        <w:framePr w:hRule="auto" w:wrap="auto" w:vAnchor="margin" w:hAnchor="text" w:yAlign="inline"/>
        <w:spacing w:line="360" w:lineRule="auto"/>
        <w:rPr>
          <w:rFonts w:ascii="Times New Roman" w:hAnsi="Times New Roman" w:eastAsia="Times New Roman" w:cs="Times New Roman"/>
        </w:rPr>
      </w:pPr>
    </w:p>
    <w:p w14:paraId="56469C73">
      <w:pPr>
        <w:pStyle w:val="8"/>
        <w:framePr w:hRule="auto" w:wrap="auto" w:vAnchor="margin" w:hAnchor="text" w:yAlign="inline"/>
        <w:spacing w:line="360" w:lineRule="auto"/>
        <w:rPr>
          <w:rFonts w:ascii="Times New Roman" w:hAnsi="Times New Roman" w:eastAsia="Times New Roman" w:cs="Times New Roman"/>
        </w:rPr>
      </w:pPr>
    </w:p>
    <w:p w14:paraId="40ABA795">
      <w:pPr>
        <w:pStyle w:val="10"/>
        <w:framePr w:hRule="auto" w:wrap="auto" w:vAnchor="margin" w:hAnchor="text" w:yAlign="inline"/>
        <w:spacing w:before="0" w:line="480" w:lineRule="auto"/>
        <w:jc w:val="left"/>
        <w:rPr>
          <w:rFonts w:ascii="Times New Roman" w:hAnsi="Times New Roman" w:eastAsia="Times New Roman" w:cs="Times New Roman"/>
          <w:b/>
          <w:bCs/>
        </w:rPr>
      </w:pPr>
      <w:r>
        <w:rPr>
          <w:rFonts w:ascii="Times New Roman" w:hAnsi="Times New Roman"/>
          <w:b/>
          <w:bCs/>
          <w:rtl w:val="0"/>
          <w:lang w:val="en-US"/>
        </w:rPr>
        <w:t>Question 1. (30 Marks)</w:t>
      </w:r>
    </w:p>
    <w:p w14:paraId="0250BD37">
      <w:pPr>
        <w:pStyle w:val="10"/>
        <w:framePr w:hRule="auto" w:wrap="auto" w:vAnchor="margin" w:hAnchor="text" w:yAlign="inline"/>
        <w:spacing w:before="0" w:line="480" w:lineRule="auto"/>
        <w:jc w:val="left"/>
        <w:rPr>
          <w:rFonts w:ascii="Times New Roman" w:hAnsi="Times New Roman" w:eastAsia="Times New Roman" w:cs="Times New Roman"/>
        </w:rPr>
      </w:pPr>
      <w:r>
        <w:rPr>
          <w:rFonts w:ascii="Times New Roman" w:hAnsi="Times New Roman"/>
          <w:rtl w:val="0"/>
          <w:lang w:val="en-US"/>
        </w:rPr>
        <w:t>"The Treaty for the Establishment of the East African Community forms the constitutional foundation of regional integration in East Africa.</w:t>
      </w:r>
      <w:r>
        <w:rPr>
          <w:rFonts w:hint="default" w:ascii="Times New Roman" w:hAnsi="Times New Roman"/>
          <w:rtl w:val="0"/>
          <w:lang w:val="en-US"/>
        </w:rPr>
        <w:t>”</w:t>
      </w:r>
    </w:p>
    <w:p w14:paraId="383FCE98">
      <w:pPr>
        <w:pStyle w:val="10"/>
        <w:framePr w:hRule="auto" w:wrap="auto" w:vAnchor="margin" w:hAnchor="text" w:yAlign="inline"/>
        <w:spacing w:before="0" w:line="480" w:lineRule="auto"/>
        <w:jc w:val="left"/>
        <w:rPr>
          <w:rFonts w:ascii="Times New Roman" w:hAnsi="Times New Roman" w:eastAsia="Times New Roman" w:cs="Times New Roman"/>
          <w:b/>
          <w:bCs/>
        </w:rPr>
      </w:pPr>
      <w:r>
        <w:rPr>
          <w:rFonts w:ascii="Times New Roman" w:hAnsi="Times New Roman"/>
          <w:b/>
          <w:bCs/>
          <w:rtl w:val="0"/>
          <w:lang w:val="en-US"/>
        </w:rPr>
        <w:t xml:space="preserve">Provide a detailed analysis of the legal and institutional framework of the East African Community in Promoting Regional Integration </w:t>
      </w:r>
      <w:r>
        <w:rPr>
          <w:rFonts w:hint="default" w:ascii="Times New Roman" w:hAnsi="Times New Roman"/>
          <w:b/>
          <w:bCs/>
          <w:rtl w:val="0"/>
          <w:lang w:val="en-US"/>
        </w:rPr>
        <w:tab/>
        <w:t/>
      </w:r>
      <w:r>
        <w:rPr>
          <w:rFonts w:hint="default" w:ascii="Times New Roman" w:hAnsi="Times New Roman"/>
          <w:b/>
          <w:bCs/>
          <w:rtl w:val="0"/>
          <w:lang w:val="en-US"/>
        </w:rPr>
        <w:tab/>
        <w:t/>
      </w:r>
      <w:r>
        <w:rPr>
          <w:rFonts w:hint="default" w:ascii="Times New Roman" w:hAnsi="Times New Roman"/>
          <w:b/>
          <w:bCs/>
          <w:rtl w:val="0"/>
          <w:lang w:val="en-US"/>
        </w:rPr>
        <w:tab/>
        <w:t/>
      </w:r>
      <w:r>
        <w:rPr>
          <w:rFonts w:hint="default" w:ascii="Times New Roman" w:hAnsi="Times New Roman"/>
          <w:b/>
          <w:bCs/>
          <w:rtl w:val="0"/>
          <w:lang w:val="en-US"/>
        </w:rPr>
        <w:tab/>
        <w:t/>
      </w:r>
      <w:r>
        <w:rPr>
          <w:rFonts w:hint="default" w:ascii="Times New Roman" w:hAnsi="Times New Roman"/>
          <w:b/>
          <w:bCs/>
          <w:rtl w:val="0"/>
          <w:lang w:val="en-US"/>
        </w:rPr>
        <w:tab/>
      </w:r>
      <w:r>
        <w:rPr>
          <w:rFonts w:ascii="Times New Roman" w:hAnsi="Times New Roman"/>
          <w:b/>
          <w:bCs/>
          <w:rtl w:val="0"/>
          <w:lang w:val="en-US"/>
        </w:rPr>
        <w:t>(30 marks)</w:t>
      </w:r>
    </w:p>
    <w:p w14:paraId="188CDCF9">
      <w:pPr>
        <w:pStyle w:val="10"/>
        <w:framePr w:hRule="auto" w:wrap="auto" w:vAnchor="margin" w:hAnchor="text" w:yAlign="inline"/>
        <w:spacing w:before="0" w:line="480" w:lineRule="auto"/>
        <w:jc w:val="left"/>
        <w:rPr>
          <w:rFonts w:ascii="Times New Roman" w:hAnsi="Times New Roman" w:eastAsia="Times New Roman" w:cs="Times New Roman"/>
          <w:b/>
          <w:bCs/>
        </w:rPr>
      </w:pPr>
    </w:p>
    <w:p w14:paraId="33911BA8">
      <w:pPr>
        <w:pStyle w:val="10"/>
        <w:framePr w:hRule="auto" w:wrap="auto" w:vAnchor="margin" w:hAnchor="text" w:yAlign="inline"/>
        <w:spacing w:before="0" w:line="480" w:lineRule="auto"/>
        <w:jc w:val="left"/>
        <w:rPr>
          <w:rFonts w:ascii="Times New Roman" w:hAnsi="Times New Roman" w:eastAsia="Times New Roman" w:cs="Times New Roman"/>
          <w:b/>
          <w:bCs/>
        </w:rPr>
      </w:pPr>
    </w:p>
    <w:p w14:paraId="62C0240E">
      <w:pPr>
        <w:pStyle w:val="10"/>
        <w:framePr w:hRule="auto" w:wrap="auto" w:vAnchor="margin" w:hAnchor="text" w:yAlign="inline"/>
        <w:spacing w:before="0" w:line="480" w:lineRule="auto"/>
        <w:jc w:val="left"/>
        <w:rPr>
          <w:rFonts w:ascii="Times New Roman" w:hAnsi="Times New Roman" w:eastAsia="Times New Roman" w:cs="Times New Roman"/>
          <w:b w:val="0"/>
          <w:bCs w:val="0"/>
        </w:rPr>
      </w:pPr>
      <w:r>
        <w:rPr>
          <w:rFonts w:ascii="Times New Roman" w:hAnsi="Times New Roman"/>
          <w:b/>
          <w:bCs/>
          <w:rtl w:val="0"/>
          <w:lang w:val="en-US"/>
        </w:rPr>
        <w:t>Question 2 (20 Marks)</w:t>
      </w:r>
    </w:p>
    <w:p w14:paraId="2DAEE095">
      <w:pPr>
        <w:pStyle w:val="10"/>
        <w:framePr w:hRule="auto" w:wrap="auto" w:vAnchor="margin" w:hAnchor="text" w:yAlign="inline"/>
        <w:spacing w:before="0" w:line="480" w:lineRule="auto"/>
        <w:jc w:val="left"/>
        <w:rPr>
          <w:rFonts w:ascii="Times New Roman" w:hAnsi="Times New Roman" w:eastAsia="Times New Roman" w:cs="Times New Roman"/>
        </w:rPr>
      </w:pPr>
      <w:r>
        <w:rPr>
          <w:rFonts w:ascii="Times New Roman" w:hAnsi="Times New Roman"/>
          <w:rtl w:val="0"/>
          <w:lang w:val="en-US"/>
        </w:rPr>
        <w:t>The East African Court of Justice lacks specific jurisdiction to hear and determine human rights cases.</w:t>
      </w:r>
    </w:p>
    <w:p w14:paraId="47B5D881">
      <w:pPr>
        <w:pStyle w:val="10"/>
        <w:framePr w:hRule="auto" w:wrap="auto" w:vAnchor="margin" w:hAnchor="text" w:yAlign="inline"/>
        <w:spacing w:before="0" w:line="480" w:lineRule="auto"/>
        <w:jc w:val="left"/>
        <w:rPr>
          <w:rFonts w:ascii="Times New Roman" w:hAnsi="Times New Roman" w:eastAsia="Times New Roman" w:cs="Times New Roman"/>
          <w:b/>
          <w:bCs/>
        </w:rPr>
      </w:pPr>
      <w:r>
        <w:rPr>
          <w:rFonts w:ascii="Times New Roman" w:hAnsi="Times New Roman"/>
          <w:b/>
          <w:bCs/>
          <w:rtl w:val="0"/>
          <w:lang w:val="en-US"/>
        </w:rPr>
        <w:t>Citing specific case examples, provide a critical analysis of the Jurisdiction of the EACJ with specific focus on how it has interpreted its mandate to include human rights.</w:t>
      </w:r>
    </w:p>
    <w:p w14:paraId="330B8499">
      <w:pPr>
        <w:pStyle w:val="10"/>
        <w:framePr w:hRule="auto" w:wrap="auto" w:vAnchor="margin" w:hAnchor="text" w:yAlign="inline"/>
        <w:spacing w:before="0" w:line="480" w:lineRule="auto"/>
        <w:jc w:val="left"/>
        <w:rPr>
          <w:rFonts w:ascii="Times New Roman" w:hAnsi="Times New Roman" w:eastAsia="Times New Roman" w:cs="Times New Roman"/>
          <w:b/>
          <w:bCs/>
        </w:rPr>
      </w:pPr>
    </w:p>
    <w:p w14:paraId="79607F0E">
      <w:pPr>
        <w:pStyle w:val="10"/>
        <w:framePr w:hRule="auto" w:wrap="auto" w:vAnchor="margin" w:hAnchor="text" w:yAlign="inline"/>
        <w:spacing w:before="0" w:line="480" w:lineRule="auto"/>
        <w:jc w:val="left"/>
        <w:rPr>
          <w:rFonts w:ascii="Times New Roman" w:hAnsi="Times New Roman" w:eastAsia="Times New Roman" w:cs="Times New Roman"/>
          <w:b/>
          <w:bCs/>
        </w:rPr>
      </w:pPr>
      <w:r>
        <w:rPr>
          <w:rFonts w:ascii="Times New Roman" w:hAnsi="Times New Roman"/>
          <w:b/>
          <w:bCs/>
          <w:rtl w:val="0"/>
          <w:lang w:val="en-US"/>
        </w:rPr>
        <w:t>Question 3. (20 Marks)</w:t>
      </w:r>
    </w:p>
    <w:p w14:paraId="25BB8093">
      <w:pPr>
        <w:pStyle w:val="10"/>
        <w:framePr w:hRule="auto" w:wrap="auto" w:vAnchor="margin" w:hAnchor="text" w:yAlign="inline"/>
        <w:spacing w:before="0" w:line="480" w:lineRule="auto"/>
        <w:jc w:val="both"/>
        <w:rPr>
          <w:rFonts w:ascii="Times New Roman" w:hAnsi="Times New Roman" w:eastAsia="Times New Roman" w:cs="Times New Roman"/>
          <w:shd w:val="clear" w:color="auto" w:fill="FFFFFF"/>
        </w:rPr>
      </w:pPr>
      <w:r>
        <w:rPr>
          <w:rFonts w:ascii="Times New Roman" w:hAnsi="Times New Roman"/>
          <w:shd w:val="clear" w:color="auto" w:fill="FFFFFF"/>
          <w:rtl w:val="0"/>
          <w:lang w:val="en-US"/>
        </w:rPr>
        <w:t xml:space="preserve">The EAC Treaty provides in Article 8(5) that </w:t>
      </w:r>
      <w:r>
        <w:rPr>
          <w:rFonts w:hint="default" w:ascii="Times New Roman" w:hAnsi="Times New Roman"/>
          <w:shd w:val="clear" w:color="auto" w:fill="FFFFFF"/>
          <w:rtl w:val="0"/>
          <w:lang w:val="en-US"/>
        </w:rPr>
        <w:t>‘</w:t>
      </w:r>
      <w:r>
        <w:rPr>
          <w:rFonts w:ascii="Times New Roman" w:hAnsi="Times New Roman"/>
          <w:shd w:val="clear" w:color="auto" w:fill="FFFFFF"/>
          <w:rtl w:val="0"/>
          <w:lang w:val="en-US"/>
        </w:rPr>
        <w:t>In pursuance of the provisions of paragraph 4 of this Article, the Partner States undertake to make the necessary legal instruments to confer precedence of Community organs, institutions and laws over similar national ones</w:t>
      </w:r>
      <w:r>
        <w:rPr>
          <w:rFonts w:hint="default" w:ascii="Times New Roman" w:hAnsi="Times New Roman"/>
          <w:shd w:val="clear" w:color="auto" w:fill="FFFFFF"/>
          <w:rtl w:val="0"/>
          <w:lang w:val="en-US"/>
        </w:rPr>
        <w:t>’</w:t>
      </w:r>
    </w:p>
    <w:p w14:paraId="5AFB7A9B">
      <w:pPr>
        <w:pStyle w:val="10"/>
        <w:framePr w:hRule="auto" w:wrap="auto" w:vAnchor="margin" w:hAnchor="text" w:yAlign="inline"/>
        <w:numPr>
          <w:ilvl w:val="0"/>
          <w:numId w:val="2"/>
        </w:numPr>
        <w:spacing w:before="0" w:line="480" w:lineRule="auto"/>
        <w:ind w:left="393" w:leftChars="0" w:right="0" w:rightChars="0" w:hanging="393" w:firstLineChars="0"/>
        <w:jc w:val="both"/>
        <w:rPr>
          <w:rFonts w:ascii="Times New Roman" w:hAnsi="Times New Roman"/>
          <w:shd w:val="clear" w:color="auto" w:fill="FFFFFF"/>
          <w:lang w:val="en-US"/>
        </w:rPr>
      </w:pPr>
      <w:r>
        <w:rPr>
          <w:rFonts w:ascii="Times New Roman" w:hAnsi="Times New Roman"/>
          <w:b/>
          <w:bCs/>
          <w:shd w:val="clear" w:color="auto" w:fill="FFFFFF"/>
          <w:rtl w:val="0"/>
          <w:lang w:val="en-US"/>
        </w:rPr>
        <w:t xml:space="preserve">Citing specific examples, provide a critical analysis of the doctrine of primacy of community law within the EAC context.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r>
      <w:r>
        <w:rPr>
          <w:rFonts w:ascii="Times New Roman" w:hAnsi="Times New Roman"/>
          <w:b/>
          <w:bCs/>
          <w:shd w:val="clear" w:color="auto" w:fill="FFFFFF"/>
          <w:rtl w:val="0"/>
          <w:lang w:val="en-US"/>
        </w:rPr>
        <w:t>(10 marks)</w:t>
      </w:r>
    </w:p>
    <w:p w14:paraId="2E153B96">
      <w:pPr>
        <w:pStyle w:val="10"/>
        <w:framePr w:hRule="auto" w:wrap="auto" w:vAnchor="margin" w:hAnchor="text" w:yAlign="inline"/>
        <w:numPr>
          <w:ilvl w:val="0"/>
          <w:numId w:val="2"/>
        </w:numPr>
        <w:spacing w:before="0" w:line="480" w:lineRule="auto"/>
        <w:ind w:left="393" w:leftChars="0" w:right="0" w:rightChars="0" w:hanging="393" w:firstLineChars="0"/>
        <w:jc w:val="both"/>
        <w:rPr>
          <w:rFonts w:ascii="Times New Roman" w:hAnsi="Times New Roman"/>
          <w:shd w:val="clear" w:color="auto" w:fill="FFFFFF"/>
          <w:lang w:val="en-US"/>
        </w:rPr>
      </w:pPr>
      <w:r>
        <w:rPr>
          <w:rFonts w:ascii="Times New Roman" w:hAnsi="Times New Roman"/>
          <w:b/>
          <w:bCs/>
          <w:shd w:val="clear" w:color="auto" w:fill="FFFFFF"/>
          <w:rtl w:val="0"/>
          <w:lang w:val="en-US"/>
        </w:rPr>
        <w:t>Critically analyse at least five(5) challenges that have hampere</w:t>
      </w:r>
      <w:bookmarkStart w:id="0" w:name="_GoBack"/>
      <w:bookmarkEnd w:id="0"/>
      <w:r>
        <w:rPr>
          <w:rFonts w:ascii="Times New Roman" w:hAnsi="Times New Roman"/>
          <w:b/>
          <w:bCs/>
          <w:shd w:val="clear" w:color="auto" w:fill="FFFFFF"/>
          <w:rtl w:val="0"/>
          <w:lang w:val="en-US"/>
        </w:rPr>
        <w:t xml:space="preserve">d the EAC integration process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t/>
      </w:r>
      <w:r>
        <w:rPr>
          <w:rFonts w:hint="default" w:ascii="Times New Roman" w:hAnsi="Times New Roman"/>
          <w:b/>
          <w:bCs/>
          <w:shd w:val="clear" w:color="auto" w:fill="FFFFFF"/>
          <w:rtl w:val="0"/>
          <w:lang w:val="en-US"/>
        </w:rPr>
        <w:tab/>
      </w:r>
      <w:r>
        <w:rPr>
          <w:rFonts w:ascii="Times New Roman" w:hAnsi="Times New Roman"/>
          <w:b/>
          <w:bCs/>
          <w:shd w:val="clear" w:color="auto" w:fill="FFFFFF"/>
          <w:rtl w:val="0"/>
          <w:lang w:val="en-US"/>
        </w:rPr>
        <w:t>(10 marks)</w:t>
      </w:r>
    </w:p>
    <w:p w14:paraId="3BE6FB31">
      <w:pPr>
        <w:pStyle w:val="10"/>
        <w:framePr w:hRule="auto" w:wrap="auto" w:vAnchor="margin" w:hAnchor="text" w:yAlign="inline"/>
        <w:spacing w:before="0" w:line="480" w:lineRule="auto"/>
        <w:jc w:val="both"/>
      </w:pPr>
    </w:p>
    <w:sectPr>
      <w:headerReference r:id="rId5" w:type="default"/>
      <w:footerReference r:id="rId6" w:type="default"/>
      <w:pgSz w:w="11900" w:h="16840"/>
      <w:pgMar w:top="1134" w:right="1134" w:bottom="1134" w:left="1134" w:header="709" w:footer="850"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Arial Unicode MS">
    <w:panose1 w:val="020B0604020202020204"/>
    <w:charset w:val="86"/>
    <w:family w:val="roman"/>
    <w:pitch w:val="default"/>
    <w:sig w:usb0="FFFFFFFF" w:usb1="E9FFFFFF" w:usb2="0000003F" w:usb3="00000000" w:csb0="603F01FF" w:csb1="FFFF0000"/>
  </w:font>
  <w:font w:name="Helvetica Neue">
    <w:altName w:val="Times New Roman"/>
    <w:panose1 w:val="00000000000000000000"/>
    <w:charset w:val="00"/>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E8198">
    <w:pPr>
      <w:pStyle w:val="7"/>
      <w:framePr w:hRule="auto" w:wrap="auto" w:vAnchor="margin" w:hAnchor="text" w:yAlign="inline"/>
      <w:bidi w:val="0"/>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2700" cap="flat">
                        <a:noFill/>
                        <a:miter lim="400000"/>
                      </a:ln>
                    </wps:spPr>
                    <wps:style>
                      <a:lnRef idx="0">
                        <a:srgbClr val="FFFFFF"/>
                      </a:lnRef>
                      <a:fillRef idx="0">
                        <a:srgbClr val="FFFFFF"/>
                      </a:fillRef>
                      <a:effectRef idx="0">
                        <a:srgbClr val="FFFFFF"/>
                      </a:effectRef>
                      <a:fontRef idx="none"/>
                    </wps:style>
                    <wps:txbx>
                      <w:txbxContent>
                        <w:p w14:paraId="2A8BC7AD">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2</w:t>
                          </w:r>
                          <w:r>
                            <w:fldChar w:fldCharType="end"/>
                          </w:r>
                        </w:p>
                      </w:txbxContent>
                    </wps:txbx>
                    <wps:bodyPr rot="0" spcFirstLastPara="0" vertOverflow="overflow" horzOverflow="overflow" vert="horz" wrap="none" lIns="0" tIns="0" rIns="0" bIns="0" numCol="1" spcCol="3810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W411I9AAAAAFAQAADwAAAAAAAAABACAAAAAiAAAAZHJzL2Rvd25yZXYueG1sUEsB&#10;AhQAFAAAAAgAh07iQOmuyDo2AgAAhwQAAA4AAAAAAAAAAQAgAAAAHwEAAGRycy9lMm9Eb2MueG1s&#10;UEsFBgAAAAAGAAYAWQEAAMcFAAAAAA==&#10;">
              <v:fill on="f" focussize="0,0"/>
              <v:stroke on="f" weight="1pt" miterlimit="4" joinstyle="miter"/>
              <v:imagedata o:title=""/>
              <o:lock v:ext="edit" aspectratio="f"/>
              <v:textbox inset="0mm,0mm,0mm,0mm" style="mso-fit-shape-to-text:t;">
                <w:txbxContent>
                  <w:p w14:paraId="2A8BC7AD">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82C4F">
    <w:pPr>
      <w:pStyle w:val="7"/>
      <w:framePr w:hRule="auto" w:wrap="auto" w:vAnchor="margin" w:hAnchor="text" w:yAlign="inline"/>
      <w:bidi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C49BA1"/>
    <w:multiLevelType w:val="singleLevel"/>
    <w:tmpl w:val="E6C49BA1"/>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0053208E"/>
    <w:multiLevelType w:val="multilevel"/>
    <w:tmpl w:val="0053208E"/>
    <w:lvl w:ilvl="0" w:tentative="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efaultTabStop w:val="720"/>
  <w:noLineBreaksAfter w:lang="zh-CN" w:val="‘“(〔[{〈《「『【⦅〘〖«〝︵︷︹︻︽︿﹁﹃﹇﹙﹛﹝｢"/>
  <w:noLineBreaksBefore w:lang="zh-CN" w:val="’”)〕]}〉"/>
  <w:footnotePr>
    <w:footnote w:id="0"/>
    <w:footnote w:id="1"/>
  </w:footnotePr>
  <w:endnotePr>
    <w:endnote w:id="0"/>
    <w:endnote w:id="1"/>
  </w:endnotePr>
  <w:compat>
    <w:compatSetting w:name="compatibilityMode" w:uri="http://schemas.microsoft.com/office/word" w:val="15"/>
  </w:compat>
  <w:rsids>
    <w:rsidRoot w:val="00000000"/>
    <w:rsid w:val="303532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Arial Unicode MS"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spacing w:before="0" w:beforeAutospacing="0" w:after="0" w:afterAutospacing="0" w:line="240" w:lineRule="auto"/>
      <w:ind w:left="0" w:right="0" w:firstLine="0"/>
      <w:jc w:val="left"/>
      <w:outlineLvl w:val="9"/>
    </w:pPr>
    <w:rPr>
      <w:rFonts w:ascii="Times New Roman" w:hAnsi="Times New Roman" w:eastAsia="Arial Unicode MS" w:cs="Times New Roman"/>
      <w:color w:val="auto"/>
      <w:spacing w:val="0"/>
      <w:w w:val="100"/>
      <w:kern w:val="0"/>
      <w:position w:val="0"/>
      <w:sz w:val="24"/>
      <w:szCs w:val="24"/>
      <w:u w:val="none" w:color="auto"/>
      <w:vertAlign w:val="baseline"/>
      <w:lang w:val="en-US" w:eastAsia="en-US" w:bidi="ar-SA"/>
    </w:rPr>
  </w:style>
  <w:style w:type="character" w:default="1" w:styleId="2">
    <w:name w:val="Default Paragraph Font"/>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szCs w:val="18"/>
    </w:rPr>
  </w:style>
  <w:style w:type="character" w:styleId="5">
    <w:name w:val="Hyperlink"/>
    <w:qFormat/>
    <w:uiPriority w:val="0"/>
    <w:rPr>
      <w:u w:val="single"/>
    </w:rPr>
  </w:style>
  <w:style w:type="table" w:customStyle="1" w:styleId="6">
    <w:name w:val="Table Normal1"/>
    <w:uiPriority w:val="0"/>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7">
    <w:name w:val="Header &amp; Footer"/>
    <w:qFormat/>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right" w:pos="9020"/>
      </w:tabs>
      <w:suppressAutoHyphens w:val="0"/>
      <w:bidi w:val="0"/>
      <w:spacing w:before="0" w:beforeAutospacing="0" w:after="0" w:afterAutospacing="0" w:line="240" w:lineRule="auto"/>
      <w:ind w:left="0" w:right="0" w:firstLine="0"/>
      <w:jc w:val="left"/>
      <w:outlineLvl w:val="9"/>
    </w:pPr>
    <w:rPr>
      <w:rFonts w:ascii="Helvetica Neue" w:hAnsi="Helvetica Neue" w:eastAsia="Arial Unicode MS" w:cs="Arial Unicode MS"/>
      <w:color w:val="000000"/>
      <w:spacing w:val="0"/>
      <w:w w:val="100"/>
      <w:kern w:val="0"/>
      <w:position w:val="0"/>
      <w:sz w:val="24"/>
      <w:szCs w:val="24"/>
      <w:u w:val="none" w:color="auto"/>
      <w:shd w:val="clear" w:color="auto" w:fill="auto"/>
      <w:vertAlign w:val="baseline"/>
    </w:rPr>
  </w:style>
  <w:style w:type="paragraph" w:customStyle="1" w:styleId="8">
    <w:name w:val="Body A"/>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9"/>
    </w:pPr>
    <w:rPr>
      <w:rFonts w:ascii="Helvetica Neue" w:hAnsi="Helvetica Neue" w:eastAsia="Arial Unicode MS" w:cs="Arial Unicode MS"/>
      <w:color w:val="000000"/>
      <w:spacing w:val="0"/>
      <w:w w:val="100"/>
      <w:kern w:val="0"/>
      <w:position w:val="0"/>
      <w:sz w:val="22"/>
      <w:szCs w:val="22"/>
      <w:u w:val="none" w:color="000000"/>
      <w:shd w:val="clear" w:color="auto" w:fill="auto"/>
      <w:vertAlign w:val="baseline"/>
    </w:rPr>
  </w:style>
  <w:style w:type="paragraph" w:customStyle="1" w:styleId="9">
    <w:name w:val="Heading"/>
    <w:next w:val="8"/>
    <w:qFormat/>
    <w:uiPriority w:val="0"/>
    <w:pPr>
      <w:keepNext/>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0"/>
    </w:pPr>
    <w:rPr>
      <w:rFonts w:ascii="Helvetica Neue" w:hAnsi="Helvetica Neue" w:eastAsia="Arial Unicode MS" w:cs="Arial Unicode MS"/>
      <w:b/>
      <w:bCs/>
      <w:color w:val="000000"/>
      <w:spacing w:val="0"/>
      <w:w w:val="100"/>
      <w:kern w:val="0"/>
      <w:position w:val="0"/>
      <w:sz w:val="36"/>
      <w:szCs w:val="36"/>
      <w:u w:val="none" w:color="000000"/>
      <w:shd w:val="clear" w:color="auto" w:fill="auto"/>
      <w:vertAlign w:val="baseline"/>
      <w:lang w:val="de-DE"/>
    </w:rPr>
  </w:style>
  <w:style w:type="paragraph" w:customStyle="1" w:styleId="10">
    <w:name w:val="Default"/>
    <w:qFormat/>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160" w:beforeAutospacing="0" w:after="0" w:afterAutospacing="0" w:line="288" w:lineRule="auto"/>
      <w:ind w:left="0" w:right="0" w:firstLine="0"/>
      <w:jc w:val="left"/>
      <w:outlineLvl w:val="9"/>
    </w:pPr>
    <w:rPr>
      <w:rFonts w:ascii="Helvetica Neue" w:hAnsi="Helvetica Neue" w:eastAsia="Arial Unicode MS" w:cs="Arial Unicode MS"/>
      <w:color w:val="000000"/>
      <w:spacing w:val="0"/>
      <w:w w:val="100"/>
      <w:kern w:val="0"/>
      <w:position w:val="0"/>
      <w:sz w:val="24"/>
      <w:szCs w:val="24"/>
      <w:u w:val="none" w:color="000000"/>
      <w:shd w:val="clear" w:color="auto" w:fill="auto"/>
      <w:vertAlign w:val="baseline"/>
      <w:lang w:val="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spPr>
      <a:bodyPr rot="0" spcFirstLastPara="1" vertOverflow="overflow" horzOverflow="overflow" vert="horz" wrap="square" lIns="50800" tIns="50800" rIns="50800" bIns="50800" numCol="1" spcCol="38100" rtlCol="0" anchor="ctr" upright="0">
        <a:spAutoFit/>
      </a:bodyPr>
      <a:lstStyle/>
      <a:style>
        <a:lnRef idx="0">
          <a:srgbClr val="FFFFFF"/>
        </a:lnRef>
        <a:fillRef idx="0">
          <a:srgbClr val="FFFFFF"/>
        </a:fillRef>
        <a:effectRef idx="0">
          <a:srgbClr val="FFFFFF"/>
        </a:effectRef>
        <a:fontRef idx="none"/>
      </a:style>
    </a:spDef>
    <a:lnDef>
      <a:spPr>
        <a:noFill/>
        <a:ln w="25400" cap="flat">
          <a:solidFill>
            <a:schemeClr val="accent1"/>
          </a:solidFill>
          <a:prstDash val="solid"/>
          <a:round/>
        </a:ln>
      </a:spPr>
      <a:bodyPr rot="0" spcFirstLastPara="1" vertOverflow="overflow" horzOverflow="overflow" vert="horz" wrap="square" lIns="91439" tIns="45719" rIns="91439" bIns="45719" numCol="1" spcCol="38100" rtlCol="0" anchor="t" upright="0">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50800" tIns="50800" rIns="50800" bIns="50800" numCol="1" spcCol="38100" rtlCol="0" anchor="t" upright="0">
        <a:spAutoFit/>
      </a:bodyPr>
      <a:lstStyle/>
      <a:style>
        <a:lnRef idx="0">
          <a:srgbClr val="FFFFFF"/>
        </a:lnRef>
        <a:fillRef idx="0">
          <a:srgbClr val="FFFFFF"/>
        </a:fillRef>
        <a:effectRef idx="0">
          <a:srgbClr val="FFFFFF"/>
        </a:effectRef>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TotalTime>1</TotalTime>
  <ScaleCrop>false</ScaleCrop>
  <LinksUpToDate>false</LinksUpToDate>
  <Application>WPS Office_12.2.0.20795_F1E327BC-269C-435d-A152-05C5408002CA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2025-04-24T12:26:15Z</dcterms:created>
  <dc:creator>hochieng</dc:creator>
  <cp:lastModifiedBy>Hillary Ochieng</cp:lastModifiedBy>
  <dcterms:modified xsi:type="dcterms:W3CDTF">2025-04-24T12:27:50Z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E9358DE41A164490A0FA5041F6019BD4_12</vt:lpwstr>
  </property>
</Properties>
</file>