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5D0116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158A339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71E95A3A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</w:rPr>
        <w:drawing>
          <wp:inline distT="0" distB="0" distL="0" distR="0">
            <wp:extent cx="1785620" cy="776605"/>
            <wp:effectExtent l="0" t="0" r="5080" b="444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785620" cy="776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375C62">
      <w:pPr>
        <w:pStyle w:val="4"/>
        <w:spacing w:before="0"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Riara School of Business</w:t>
      </w:r>
    </w:p>
    <w:p w14:paraId="06DFD214">
      <w:pPr>
        <w:pStyle w:val="13"/>
        <w:pBdr>
          <w:bottom w:val="single" w:color="auto" w:sz="12" w:space="1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i/>
          <w:color w:val="auto"/>
          <w:sz w:val="24"/>
          <w:szCs w:val="24"/>
        </w:rPr>
        <w:t>Nurturing business innovators</w:t>
      </w:r>
    </w:p>
    <w:p w14:paraId="538AFEC3">
      <w:pPr>
        <w:pStyle w:val="13"/>
        <w:pBdr>
          <w:bottom w:val="single" w:color="auto" w:sz="12" w:space="1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14:paraId="165C7335">
      <w:pPr>
        <w:pStyle w:val="13"/>
        <w:pBdr>
          <w:bottom w:val="single" w:color="auto" w:sz="12" w:space="1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JANUARY-APRIL 2026 TRIMESTER EXAMINATIONS</w:t>
      </w:r>
    </w:p>
    <w:p w14:paraId="73BC6F19">
      <w:pPr>
        <w:pStyle w:val="13"/>
        <w:pBdr>
          <w:bottom w:val="single" w:color="auto" w:sz="12" w:space="1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DAY </w:t>
      </w:r>
      <w:r>
        <w:rPr>
          <w:rFonts w:ascii="Times New Roman" w:hAnsi="Times New Roman"/>
          <w:color w:val="auto"/>
          <w:sz w:val="24"/>
          <w:szCs w:val="24"/>
        </w:rPr>
        <w:t>PROGRAMME</w:t>
      </w:r>
    </w:p>
    <w:p w14:paraId="1EFF10CA">
      <w:pPr>
        <w:pStyle w:val="13"/>
        <w:pBdr>
          <w:bottom w:val="single" w:color="auto" w:sz="12" w:space="1"/>
        </w:pBdr>
        <w:spacing w:after="0" w:line="276" w:lineRule="auto"/>
        <w:rPr>
          <w:rFonts w:ascii="Times New Roman" w:hAnsi="Times New Roman"/>
          <w:color w:val="FF0000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EXAMINATION FOR BACHELOR OF BUSINESS ADMINISTRATION</w:t>
      </w:r>
    </w:p>
    <w:p w14:paraId="3A33CEDA">
      <w:pPr>
        <w:pStyle w:val="13"/>
        <w:pBdr>
          <w:bottom w:val="single" w:color="auto" w:sz="12" w:space="1"/>
        </w:pBdr>
        <w:spacing w:after="0" w:line="276" w:lineRule="auto"/>
        <w:rPr>
          <w:rFonts w:ascii="Times New Roman" w:hAnsi="Times New Roman"/>
          <w:b w:val="0"/>
          <w:color w:val="auto"/>
          <w:sz w:val="24"/>
          <w:szCs w:val="24"/>
        </w:rPr>
      </w:pPr>
      <w:bookmarkStart w:id="0" w:name="_Toc306263693"/>
      <w:r>
        <w:rPr>
          <w:rFonts w:ascii="Times New Roman" w:hAnsi="Times New Roman"/>
          <w:color w:val="auto"/>
          <w:sz w:val="24"/>
          <w:szCs w:val="24"/>
        </w:rPr>
        <w:t>RBBS 7123: PRINCIPLES OF ACCOUNTING 1</w:t>
      </w:r>
      <w:bookmarkEnd w:id="0"/>
      <w:r>
        <w:rPr>
          <w:rFonts w:ascii="Times New Roman" w:hAnsi="Times New Roman"/>
          <w:color w:val="auto"/>
          <w:sz w:val="24"/>
          <w:szCs w:val="24"/>
        </w:rPr>
        <w:t>1</w:t>
      </w:r>
    </w:p>
    <w:p w14:paraId="7093673F">
      <w:pPr>
        <w:pStyle w:val="13"/>
        <w:pBdr>
          <w:bottom w:val="single" w:color="auto" w:sz="12" w:space="1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14:paraId="61ECC4DC">
      <w:pPr>
        <w:pStyle w:val="13"/>
        <w:pBdr>
          <w:bottom w:val="single" w:color="auto" w:sz="12" w:space="1"/>
        </w:pBdr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DATE:</w:t>
      </w:r>
      <w:r>
        <w:rPr>
          <w:rFonts w:ascii="Times New Roman" w:hAnsi="Times New Roman"/>
          <w:sz w:val="24"/>
          <w:szCs w:val="24"/>
        </w:rPr>
        <w:tab/>
      </w:r>
      <w:r>
        <w:rPr>
          <w:rFonts w:hint="default" w:ascii="Times New Roman" w:hAnsi="Times New Roman"/>
          <w:sz w:val="24"/>
          <w:szCs w:val="24"/>
          <w:lang w:val="en-US"/>
        </w:rPr>
        <w:t>15</w:t>
      </w:r>
      <w:r>
        <w:rPr>
          <w:rFonts w:hint="default" w:ascii="Times New Roman" w:hAnsi="Times New Roman"/>
          <w:sz w:val="24"/>
          <w:szCs w:val="24"/>
          <w:vertAlign w:val="superscript"/>
          <w:lang w:val="en-US"/>
        </w:rPr>
        <w:t>TH</w:t>
      </w:r>
      <w:r>
        <w:rPr>
          <w:rFonts w:hint="default" w:ascii="Times New Roman" w:hAnsi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</w:rPr>
        <w:t>APRIL 2026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TIME: 2 HOURS </w:t>
      </w:r>
    </w:p>
    <w:p w14:paraId="5349183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eastAsia="Calibri" w:cs="Times New Roman"/>
          <w:sz w:val="24"/>
          <w:szCs w:val="24"/>
          <w:u w:val="single"/>
        </w:rPr>
      </w:pPr>
      <w:r>
        <w:rPr>
          <w:rFonts w:ascii="Times New Roman" w:hAnsi="Times New Roman" w:eastAsia="Calibri" w:cs="Times New Roman"/>
          <w:b/>
          <w:bCs/>
          <w:sz w:val="24"/>
          <w:szCs w:val="24"/>
          <w:u w:val="single"/>
        </w:rPr>
        <w:t xml:space="preserve">GENERAL INSTRUCTIONS: </w:t>
      </w:r>
    </w:p>
    <w:p w14:paraId="3631FBB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sz w:val="24"/>
          <w:szCs w:val="24"/>
        </w:rPr>
        <w:t xml:space="preserve">Students are NOT permitted to write on the examination paper during reading time. </w:t>
      </w:r>
    </w:p>
    <w:p w14:paraId="3691CB1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sz w:val="24"/>
          <w:szCs w:val="24"/>
        </w:rPr>
        <w:t xml:space="preserve">This is a closed book examination. Text book/Reference books/notes are not permitted. </w:t>
      </w:r>
    </w:p>
    <w:p w14:paraId="1228C24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eastAsia="Calibri" w:cs="Times New Roman"/>
          <w:b/>
          <w:bCs/>
          <w:sz w:val="24"/>
          <w:szCs w:val="24"/>
          <w:u w:val="single"/>
        </w:rPr>
      </w:pPr>
    </w:p>
    <w:p w14:paraId="40B26CA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/>
          <w:bCs/>
          <w:sz w:val="24"/>
          <w:szCs w:val="24"/>
          <w:u w:val="single"/>
        </w:rPr>
        <w:t>SPECIAL INSTRUCTIONS</w:t>
      </w:r>
      <w:r>
        <w:rPr>
          <w:rFonts w:ascii="Times New Roman" w:hAnsi="Times New Roman" w:eastAsia="Calibri" w:cs="Times New Roman"/>
          <w:b/>
          <w:bCs/>
          <w:sz w:val="24"/>
          <w:szCs w:val="24"/>
        </w:rPr>
        <w:t xml:space="preserve">: </w:t>
      </w:r>
    </w:p>
    <w:p w14:paraId="17FFC985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1 Write your REGISTRATION NO. Clearly on the answer booklet(s). </w:t>
      </w:r>
    </w:p>
    <w:p w14:paraId="4AE2AE49">
      <w:pPr>
        <w:spacing w:after="0" w:line="240" w:lineRule="auto"/>
        <w:ind w:left="270" w:hanging="270"/>
        <w:jc w:val="both"/>
        <w:rPr>
          <w:rFonts w:ascii="Times New Roman" w:hAnsi="Times New Roman" w:eastAsia="Calibri" w:cs="Times New Roman"/>
          <w:sz w:val="24"/>
          <w:szCs w:val="24"/>
        </w:rPr>
      </w:pPr>
      <w:bookmarkStart w:id="3" w:name="_GoBack"/>
      <w:r>
        <w:rPr>
          <w:rFonts w:ascii="Times New Roman" w:hAnsi="Times New Roman" w:eastAsia="Calibri" w:cs="Times New Roman"/>
          <w:bCs/>
          <w:sz w:val="24"/>
          <w:szCs w:val="24"/>
        </w:rPr>
        <w:t xml:space="preserve">2 </w:t>
      </w:r>
      <w:r>
        <w:rPr>
          <w:rFonts w:ascii="Times New Roman" w:hAnsi="Times New Roman" w:eastAsia="Calibri" w:cs="Times New Roman"/>
          <w:sz w:val="24"/>
          <w:szCs w:val="24"/>
          <w:highlight w:val="yellow"/>
        </w:rPr>
        <w:t>Answer Question One and ANY other TWO questions.</w:t>
      </w:r>
    </w:p>
    <w:bookmarkEnd w:id="3"/>
    <w:p w14:paraId="7544FE7B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3 Questions in all sections should be answered in answer booklet(s). </w:t>
      </w:r>
    </w:p>
    <w:p w14:paraId="72E3BE53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4 Marks allocated to each question are shown at the end of the question. </w:t>
      </w:r>
    </w:p>
    <w:p w14:paraId="260969EB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5 PLEASE start the answer to EACH question on a NEW PAGE. </w:t>
      </w:r>
    </w:p>
    <w:p w14:paraId="52312846">
      <w:pPr>
        <w:autoSpaceDE w:val="0"/>
        <w:autoSpaceDN w:val="0"/>
        <w:adjustRightInd w:val="0"/>
        <w:spacing w:after="228" w:line="240" w:lineRule="auto"/>
        <w:ind w:left="270" w:hanging="270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6 For the questions, write the number of the question on the answer booklet(s) in the order you answered them. </w:t>
      </w:r>
    </w:p>
    <w:p w14:paraId="42E2DF58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7 Write your answers in paragraph form unless stated otherwise. </w:t>
      </w:r>
    </w:p>
    <w:p w14:paraId="149F0B9D">
      <w:pPr>
        <w:autoSpaceDE w:val="0"/>
        <w:autoSpaceDN w:val="0"/>
        <w:adjustRightInd w:val="0"/>
        <w:spacing w:after="0" w:line="240" w:lineRule="auto"/>
        <w:ind w:left="180" w:hanging="180"/>
        <w:jc w:val="both"/>
        <w:rPr>
          <w:rFonts w:ascii="Times New Roman" w:hAnsi="Times New Roman" w:eastAsia="Calibri" w:cs="Times New Roman"/>
          <w:bCs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8 Keep your phone(s) SWITCHED OFF at the front of the examination room. </w:t>
      </w:r>
    </w:p>
    <w:p w14:paraId="348D34F1">
      <w:pPr>
        <w:autoSpaceDE w:val="0"/>
        <w:autoSpaceDN w:val="0"/>
        <w:adjustRightInd w:val="0"/>
        <w:spacing w:after="0" w:line="240" w:lineRule="auto"/>
        <w:ind w:left="180" w:hanging="180"/>
        <w:jc w:val="both"/>
        <w:rPr>
          <w:rFonts w:ascii="Times New Roman" w:hAnsi="Times New Roman" w:eastAsia="Calibri" w:cs="Times New Roman"/>
          <w:sz w:val="24"/>
          <w:szCs w:val="24"/>
        </w:rPr>
      </w:pPr>
    </w:p>
    <w:p w14:paraId="2834D027">
      <w:pPr>
        <w:autoSpaceDE w:val="0"/>
        <w:autoSpaceDN w:val="0"/>
        <w:adjustRightInd w:val="0"/>
        <w:spacing w:after="211" w:line="240" w:lineRule="auto"/>
        <w:ind w:left="180" w:hanging="180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9 Keep ALL bags and caps at the front of the examination room and do not refer to any unauthorized material before or during the course of the examination. </w:t>
      </w:r>
    </w:p>
    <w:p w14:paraId="0D223067">
      <w:pPr>
        <w:autoSpaceDE w:val="0"/>
        <w:autoSpaceDN w:val="0"/>
        <w:adjustRightInd w:val="0"/>
        <w:spacing w:after="0" w:line="240" w:lineRule="auto"/>
        <w:ind w:left="270" w:hanging="270"/>
        <w:jc w:val="both"/>
        <w:rPr>
          <w:rFonts w:ascii="Times New Roman" w:hAnsi="Times New Roman" w:eastAsia="Calibri" w:cs="Times New Roman"/>
          <w:bCs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10 You are only allowed to leave the examination room 30minutes to the end of the Examination. </w:t>
      </w:r>
    </w:p>
    <w:p w14:paraId="73A796CA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7F50A623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4027623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D7B0C6E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C90A2BA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ONE: COMPULSORY (30 MARKS)</w:t>
      </w:r>
    </w:p>
    <w:p w14:paraId="356413D2">
      <w:pPr>
        <w:pStyle w:val="14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Consider the following financial statements for </w:t>
      </w:r>
      <w:r>
        <w:rPr>
          <w:rFonts w:ascii="Times New Roman" w:hAnsi="Times New Roman" w:cs="Times New Roman"/>
          <w:sz w:val="24"/>
          <w:szCs w:val="24"/>
        </w:rPr>
        <w:t xml:space="preserve">XYZ Inc., </w:t>
      </w:r>
    </w:p>
    <w:p w14:paraId="7D7AF082">
      <w:pPr>
        <w:pStyle w:val="14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872A12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XYZ Inc.,</w:t>
      </w:r>
    </w:p>
    <w:p w14:paraId="633F45A0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Statement of Financial Position as at 31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st</w:t>
      </w:r>
      <w:r>
        <w:rPr>
          <w:rFonts w:ascii="Times New Roman" w:hAnsi="Times New Roman" w:cs="Times New Roman"/>
          <w:sz w:val="24"/>
          <w:szCs w:val="24"/>
        </w:rPr>
        <w:t xml:space="preserve"> December 2024 and 2025.</w:t>
      </w:r>
    </w:p>
    <w:tbl>
      <w:tblPr>
        <w:tblStyle w:val="6"/>
        <w:tblW w:w="10110" w:type="dxa"/>
        <w:tblInd w:w="-7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4"/>
        <w:gridCol w:w="1249"/>
        <w:gridCol w:w="1276"/>
        <w:gridCol w:w="1214"/>
        <w:gridCol w:w="24"/>
        <w:gridCol w:w="39"/>
        <w:gridCol w:w="173"/>
        <w:gridCol w:w="24"/>
        <w:gridCol w:w="87"/>
        <w:gridCol w:w="1276"/>
        <w:gridCol w:w="1442"/>
        <w:gridCol w:w="1112"/>
      </w:tblGrid>
      <w:tr w14:paraId="4D1146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94" w:type="dxa"/>
          </w:tcPr>
          <w:p w14:paraId="190EFFD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086" w:type="dxa"/>
            <w:gridSpan w:val="8"/>
          </w:tcPr>
          <w:p w14:paraId="6F7A2CA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2025</w:t>
            </w:r>
          </w:p>
        </w:tc>
        <w:tc>
          <w:tcPr>
            <w:tcW w:w="3830" w:type="dxa"/>
            <w:gridSpan w:val="3"/>
          </w:tcPr>
          <w:p w14:paraId="3D10EAE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2024</w:t>
            </w:r>
          </w:p>
        </w:tc>
      </w:tr>
      <w:tr w14:paraId="7485E9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94" w:type="dxa"/>
          </w:tcPr>
          <w:p w14:paraId="2ABD785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Non-current assets</w:t>
            </w:r>
          </w:p>
        </w:tc>
        <w:tc>
          <w:tcPr>
            <w:tcW w:w="1249" w:type="dxa"/>
          </w:tcPr>
          <w:p w14:paraId="41BEC5E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Ksh’000</w:t>
            </w:r>
          </w:p>
        </w:tc>
        <w:tc>
          <w:tcPr>
            <w:tcW w:w="1276" w:type="dxa"/>
          </w:tcPr>
          <w:p w14:paraId="4EBBD58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Ksh’000</w:t>
            </w:r>
          </w:p>
        </w:tc>
        <w:tc>
          <w:tcPr>
            <w:tcW w:w="1277" w:type="dxa"/>
            <w:gridSpan w:val="3"/>
          </w:tcPr>
          <w:p w14:paraId="16FBCAB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Ksh’000</w:t>
            </w:r>
          </w:p>
        </w:tc>
        <w:tc>
          <w:tcPr>
            <w:tcW w:w="284" w:type="dxa"/>
            <w:gridSpan w:val="3"/>
          </w:tcPr>
          <w:p w14:paraId="549C1E6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14:paraId="0446318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Ksh’000</w:t>
            </w:r>
          </w:p>
        </w:tc>
        <w:tc>
          <w:tcPr>
            <w:tcW w:w="1442" w:type="dxa"/>
          </w:tcPr>
          <w:p w14:paraId="13E7BE8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2" w:type="dxa"/>
          </w:tcPr>
          <w:p w14:paraId="3C85CFE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Ksh’000</w:t>
            </w:r>
          </w:p>
        </w:tc>
      </w:tr>
      <w:tr w14:paraId="3581F6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2194" w:type="dxa"/>
          </w:tcPr>
          <w:p w14:paraId="786332D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9" w:type="dxa"/>
          </w:tcPr>
          <w:p w14:paraId="10A2B60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Cost/</w:t>
            </w:r>
          </w:p>
          <w:p w14:paraId="4D2D11E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Valuation</w:t>
            </w:r>
          </w:p>
        </w:tc>
        <w:tc>
          <w:tcPr>
            <w:tcW w:w="1276" w:type="dxa"/>
          </w:tcPr>
          <w:p w14:paraId="551517C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Acc Deprec.</w:t>
            </w:r>
          </w:p>
        </w:tc>
        <w:tc>
          <w:tcPr>
            <w:tcW w:w="1277" w:type="dxa"/>
            <w:gridSpan w:val="3"/>
          </w:tcPr>
          <w:p w14:paraId="253DD1A3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NBV</w:t>
            </w:r>
          </w:p>
        </w:tc>
        <w:tc>
          <w:tcPr>
            <w:tcW w:w="284" w:type="dxa"/>
            <w:gridSpan w:val="3"/>
          </w:tcPr>
          <w:p w14:paraId="4FA0115D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14:paraId="4AC6EAA3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Cost/</w:t>
            </w:r>
          </w:p>
          <w:p w14:paraId="4C243E7D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Valuation</w:t>
            </w:r>
          </w:p>
        </w:tc>
        <w:tc>
          <w:tcPr>
            <w:tcW w:w="1442" w:type="dxa"/>
          </w:tcPr>
          <w:p w14:paraId="72EAEC4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Acc.Deprec.</w:t>
            </w:r>
          </w:p>
        </w:tc>
        <w:tc>
          <w:tcPr>
            <w:tcW w:w="1112" w:type="dxa"/>
          </w:tcPr>
          <w:p w14:paraId="39776C4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14:paraId="3627F2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2194" w:type="dxa"/>
          </w:tcPr>
          <w:p w14:paraId="55CDE50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Property</w:t>
            </w:r>
          </w:p>
        </w:tc>
        <w:tc>
          <w:tcPr>
            <w:tcW w:w="1249" w:type="dxa"/>
          </w:tcPr>
          <w:p w14:paraId="56D81EB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269,000</w:t>
            </w:r>
          </w:p>
        </w:tc>
        <w:tc>
          <w:tcPr>
            <w:tcW w:w="1276" w:type="dxa"/>
          </w:tcPr>
          <w:p w14:paraId="3C1F8F9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29,250</w:t>
            </w:r>
          </w:p>
        </w:tc>
        <w:tc>
          <w:tcPr>
            <w:tcW w:w="1277" w:type="dxa"/>
            <w:gridSpan w:val="3"/>
          </w:tcPr>
          <w:p w14:paraId="21D4CC1B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239,750</w:t>
            </w:r>
          </w:p>
        </w:tc>
        <w:tc>
          <w:tcPr>
            <w:tcW w:w="284" w:type="dxa"/>
            <w:gridSpan w:val="3"/>
          </w:tcPr>
          <w:p w14:paraId="7BA6F462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14:paraId="4EFA45D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210,500</w:t>
            </w:r>
          </w:p>
        </w:tc>
        <w:tc>
          <w:tcPr>
            <w:tcW w:w="1442" w:type="dxa"/>
          </w:tcPr>
          <w:p w14:paraId="72572FA2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21,600</w:t>
            </w:r>
          </w:p>
        </w:tc>
        <w:tc>
          <w:tcPr>
            <w:tcW w:w="1112" w:type="dxa"/>
          </w:tcPr>
          <w:p w14:paraId="15CB5FD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188,900</w:t>
            </w:r>
          </w:p>
        </w:tc>
      </w:tr>
      <w:tr w14:paraId="7FFBBB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94" w:type="dxa"/>
          </w:tcPr>
          <w:p w14:paraId="359A717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Equipment</w:t>
            </w:r>
          </w:p>
        </w:tc>
        <w:tc>
          <w:tcPr>
            <w:tcW w:w="1249" w:type="dxa"/>
          </w:tcPr>
          <w:p w14:paraId="00FF0D7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265,000</w:t>
            </w:r>
          </w:p>
        </w:tc>
        <w:tc>
          <w:tcPr>
            <w:tcW w:w="1276" w:type="dxa"/>
          </w:tcPr>
          <w:p w14:paraId="53B53D8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122,500</w:t>
            </w:r>
          </w:p>
        </w:tc>
        <w:tc>
          <w:tcPr>
            <w:tcW w:w="1277" w:type="dxa"/>
            <w:gridSpan w:val="3"/>
          </w:tcPr>
          <w:p w14:paraId="6B06BBC3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142,500</w:t>
            </w:r>
          </w:p>
        </w:tc>
        <w:tc>
          <w:tcPr>
            <w:tcW w:w="284" w:type="dxa"/>
            <w:gridSpan w:val="3"/>
          </w:tcPr>
          <w:p w14:paraId="7C5E0AF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14:paraId="3ED7B1E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302,500</w:t>
            </w:r>
          </w:p>
        </w:tc>
        <w:tc>
          <w:tcPr>
            <w:tcW w:w="1442" w:type="dxa"/>
          </w:tcPr>
          <w:p w14:paraId="73D17EE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97,200</w:t>
            </w:r>
          </w:p>
        </w:tc>
        <w:tc>
          <w:tcPr>
            <w:tcW w:w="1112" w:type="dxa"/>
          </w:tcPr>
          <w:p w14:paraId="46FD56E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205,300</w:t>
            </w:r>
          </w:p>
        </w:tc>
      </w:tr>
      <w:tr w14:paraId="45ECF3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94" w:type="dxa"/>
          </w:tcPr>
          <w:p w14:paraId="775E9ACD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9" w:type="dxa"/>
          </w:tcPr>
          <w:p w14:paraId="0365939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14:paraId="6ADC286D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7" w:type="dxa"/>
            <w:gridSpan w:val="3"/>
          </w:tcPr>
          <w:p w14:paraId="1B07C14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382,250</w:t>
            </w:r>
          </w:p>
        </w:tc>
        <w:tc>
          <w:tcPr>
            <w:tcW w:w="284" w:type="dxa"/>
            <w:gridSpan w:val="3"/>
          </w:tcPr>
          <w:p w14:paraId="138DA492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14:paraId="3BEF333B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2" w:type="dxa"/>
          </w:tcPr>
          <w:p w14:paraId="628D2F2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2" w:type="dxa"/>
          </w:tcPr>
          <w:p w14:paraId="5D55F6E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394,200</w:t>
            </w:r>
          </w:p>
        </w:tc>
      </w:tr>
      <w:tr w14:paraId="28A186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94" w:type="dxa"/>
          </w:tcPr>
          <w:p w14:paraId="2E39CC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Current assets</w:t>
            </w:r>
          </w:p>
        </w:tc>
        <w:tc>
          <w:tcPr>
            <w:tcW w:w="1249" w:type="dxa"/>
          </w:tcPr>
          <w:p w14:paraId="7A5CC6D3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14:paraId="5444933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7" w:type="dxa"/>
            <w:gridSpan w:val="3"/>
          </w:tcPr>
          <w:p w14:paraId="65D0D43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4" w:type="dxa"/>
            <w:gridSpan w:val="3"/>
          </w:tcPr>
          <w:p w14:paraId="176AFC8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14:paraId="7E66B51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2" w:type="dxa"/>
          </w:tcPr>
          <w:p w14:paraId="453EECDB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2" w:type="dxa"/>
          </w:tcPr>
          <w:p w14:paraId="1A1166CD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14:paraId="2B53D9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94" w:type="dxa"/>
          </w:tcPr>
          <w:p w14:paraId="57BBBAD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Inventories</w:t>
            </w:r>
          </w:p>
        </w:tc>
        <w:tc>
          <w:tcPr>
            <w:tcW w:w="1249" w:type="dxa"/>
          </w:tcPr>
          <w:p w14:paraId="57FB6EF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14:paraId="63DD080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222,500</w:t>
            </w:r>
          </w:p>
        </w:tc>
        <w:tc>
          <w:tcPr>
            <w:tcW w:w="1277" w:type="dxa"/>
            <w:gridSpan w:val="3"/>
          </w:tcPr>
          <w:p w14:paraId="31897F2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4" w:type="dxa"/>
            <w:gridSpan w:val="3"/>
          </w:tcPr>
          <w:p w14:paraId="02E0FFF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14:paraId="0CC8BB6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2" w:type="dxa"/>
          </w:tcPr>
          <w:p w14:paraId="0BC9AD32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240,800</w:t>
            </w:r>
          </w:p>
        </w:tc>
        <w:tc>
          <w:tcPr>
            <w:tcW w:w="1112" w:type="dxa"/>
          </w:tcPr>
          <w:p w14:paraId="530614A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14:paraId="2B214A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94" w:type="dxa"/>
          </w:tcPr>
          <w:p w14:paraId="4ADC9BC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Receivables</w:t>
            </w:r>
          </w:p>
        </w:tc>
        <w:tc>
          <w:tcPr>
            <w:tcW w:w="1249" w:type="dxa"/>
          </w:tcPr>
          <w:p w14:paraId="0C505DF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14:paraId="0230685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169,750</w:t>
            </w:r>
          </w:p>
        </w:tc>
        <w:tc>
          <w:tcPr>
            <w:tcW w:w="1277" w:type="dxa"/>
            <w:gridSpan w:val="3"/>
          </w:tcPr>
          <w:p w14:paraId="162005F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4" w:type="dxa"/>
            <w:gridSpan w:val="3"/>
          </w:tcPr>
          <w:p w14:paraId="659169D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14:paraId="1697164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2" w:type="dxa"/>
          </w:tcPr>
          <w:p w14:paraId="3D3F921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92,400</w:t>
            </w:r>
          </w:p>
        </w:tc>
        <w:tc>
          <w:tcPr>
            <w:tcW w:w="1112" w:type="dxa"/>
          </w:tcPr>
          <w:p w14:paraId="4AD366F3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14:paraId="16DDE6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94" w:type="dxa"/>
          </w:tcPr>
          <w:p w14:paraId="373E673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Investments</w:t>
            </w:r>
          </w:p>
        </w:tc>
        <w:tc>
          <w:tcPr>
            <w:tcW w:w="1249" w:type="dxa"/>
          </w:tcPr>
          <w:p w14:paraId="700BA32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14:paraId="097E9252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20,000</w:t>
            </w:r>
          </w:p>
        </w:tc>
        <w:tc>
          <w:tcPr>
            <w:tcW w:w="1277" w:type="dxa"/>
            <w:gridSpan w:val="3"/>
          </w:tcPr>
          <w:p w14:paraId="57BFF92D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4" w:type="dxa"/>
            <w:gridSpan w:val="3"/>
          </w:tcPr>
          <w:p w14:paraId="7AC725A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14:paraId="44FDB1D2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2" w:type="dxa"/>
          </w:tcPr>
          <w:p w14:paraId="539B99E2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112" w:type="dxa"/>
          </w:tcPr>
          <w:p w14:paraId="136B4FB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14:paraId="4E3279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94" w:type="dxa"/>
          </w:tcPr>
          <w:p w14:paraId="59DE310D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Bank</w:t>
            </w:r>
          </w:p>
        </w:tc>
        <w:tc>
          <w:tcPr>
            <w:tcW w:w="1249" w:type="dxa"/>
          </w:tcPr>
          <w:p w14:paraId="3C0C9BC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14:paraId="4AC2371B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27,900</w:t>
            </w:r>
          </w:p>
        </w:tc>
        <w:tc>
          <w:tcPr>
            <w:tcW w:w="1277" w:type="dxa"/>
            <w:gridSpan w:val="3"/>
          </w:tcPr>
          <w:p w14:paraId="17C8D7A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440,150</w:t>
            </w:r>
          </w:p>
        </w:tc>
        <w:tc>
          <w:tcPr>
            <w:tcW w:w="284" w:type="dxa"/>
            <w:gridSpan w:val="3"/>
          </w:tcPr>
          <w:p w14:paraId="0F06218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14:paraId="793FDA5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2" w:type="dxa"/>
          </w:tcPr>
          <w:p w14:paraId="21A7B683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5,100</w:t>
            </w:r>
          </w:p>
        </w:tc>
        <w:tc>
          <w:tcPr>
            <w:tcW w:w="1112" w:type="dxa"/>
          </w:tcPr>
          <w:p w14:paraId="3A118BF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338,300</w:t>
            </w:r>
          </w:p>
        </w:tc>
      </w:tr>
      <w:tr w14:paraId="52E6C7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94" w:type="dxa"/>
          </w:tcPr>
          <w:p w14:paraId="017BC5ED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9" w:type="dxa"/>
          </w:tcPr>
          <w:p w14:paraId="0464C64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14:paraId="2916651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38" w:type="dxa"/>
            <w:gridSpan w:val="2"/>
          </w:tcPr>
          <w:p w14:paraId="5B30C82D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882,400</w:t>
            </w:r>
          </w:p>
        </w:tc>
        <w:tc>
          <w:tcPr>
            <w:tcW w:w="236" w:type="dxa"/>
            <w:gridSpan w:val="3"/>
          </w:tcPr>
          <w:p w14:paraId="797C5653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63" w:type="dxa"/>
            <w:gridSpan w:val="2"/>
          </w:tcPr>
          <w:p w14:paraId="3208ACE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2" w:type="dxa"/>
          </w:tcPr>
          <w:p w14:paraId="11DF0D3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2" w:type="dxa"/>
          </w:tcPr>
          <w:p w14:paraId="3509C56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732,500</w:t>
            </w:r>
          </w:p>
        </w:tc>
      </w:tr>
      <w:tr w14:paraId="753328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94" w:type="dxa"/>
          </w:tcPr>
          <w:p w14:paraId="7A8147F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Equity and liabilities</w:t>
            </w:r>
          </w:p>
        </w:tc>
        <w:tc>
          <w:tcPr>
            <w:tcW w:w="1249" w:type="dxa"/>
          </w:tcPr>
          <w:p w14:paraId="4CB33C0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14:paraId="1312BC4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4" w:type="dxa"/>
          </w:tcPr>
          <w:p w14:paraId="50CD9A3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6" w:type="dxa"/>
            <w:gridSpan w:val="3"/>
          </w:tcPr>
          <w:p w14:paraId="7AA18F62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7" w:type="dxa"/>
            <w:gridSpan w:val="3"/>
          </w:tcPr>
          <w:p w14:paraId="2306A24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2" w:type="dxa"/>
          </w:tcPr>
          <w:p w14:paraId="508C6B6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2" w:type="dxa"/>
          </w:tcPr>
          <w:p w14:paraId="36019162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14:paraId="109A23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94" w:type="dxa"/>
          </w:tcPr>
          <w:p w14:paraId="469A374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Share capital</w:t>
            </w:r>
          </w:p>
          <w:p w14:paraId="2548215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(Ksh1 shares)</w:t>
            </w:r>
          </w:p>
        </w:tc>
        <w:tc>
          <w:tcPr>
            <w:tcW w:w="1249" w:type="dxa"/>
          </w:tcPr>
          <w:p w14:paraId="5B350D4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14:paraId="1D4B5FD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4" w:type="dxa"/>
          </w:tcPr>
          <w:p w14:paraId="6FA8AF6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157,000</w:t>
            </w:r>
          </w:p>
        </w:tc>
        <w:tc>
          <w:tcPr>
            <w:tcW w:w="236" w:type="dxa"/>
            <w:gridSpan w:val="3"/>
          </w:tcPr>
          <w:p w14:paraId="355D8BE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7" w:type="dxa"/>
            <w:gridSpan w:val="3"/>
          </w:tcPr>
          <w:p w14:paraId="60CE2C5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2" w:type="dxa"/>
          </w:tcPr>
          <w:p w14:paraId="6088ABC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2" w:type="dxa"/>
          </w:tcPr>
          <w:p w14:paraId="7632A96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110,000</w:t>
            </w:r>
          </w:p>
        </w:tc>
      </w:tr>
      <w:tr w14:paraId="10376D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94" w:type="dxa"/>
          </w:tcPr>
          <w:p w14:paraId="044601C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Share Premium</w:t>
            </w:r>
          </w:p>
        </w:tc>
        <w:tc>
          <w:tcPr>
            <w:tcW w:w="1249" w:type="dxa"/>
          </w:tcPr>
          <w:p w14:paraId="0CBEC80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14:paraId="0E0C3F6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4" w:type="dxa"/>
          </w:tcPr>
          <w:p w14:paraId="06E95F9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49,700</w:t>
            </w:r>
          </w:p>
        </w:tc>
        <w:tc>
          <w:tcPr>
            <w:tcW w:w="236" w:type="dxa"/>
            <w:gridSpan w:val="3"/>
          </w:tcPr>
          <w:p w14:paraId="4204B90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7" w:type="dxa"/>
            <w:gridSpan w:val="3"/>
          </w:tcPr>
          <w:p w14:paraId="4A3C5DC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2" w:type="dxa"/>
          </w:tcPr>
          <w:p w14:paraId="08E743C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2" w:type="dxa"/>
          </w:tcPr>
          <w:p w14:paraId="2B20465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21,500</w:t>
            </w:r>
          </w:p>
        </w:tc>
      </w:tr>
      <w:tr w14:paraId="74D8B8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94" w:type="dxa"/>
          </w:tcPr>
          <w:p w14:paraId="395E247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Profit and loss account</w:t>
            </w:r>
          </w:p>
        </w:tc>
        <w:tc>
          <w:tcPr>
            <w:tcW w:w="1249" w:type="dxa"/>
          </w:tcPr>
          <w:p w14:paraId="6BAAE12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14:paraId="158C2D73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4" w:type="dxa"/>
          </w:tcPr>
          <w:p w14:paraId="3DB8428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338,000</w:t>
            </w:r>
          </w:p>
        </w:tc>
        <w:tc>
          <w:tcPr>
            <w:tcW w:w="236" w:type="dxa"/>
            <w:gridSpan w:val="3"/>
          </w:tcPr>
          <w:p w14:paraId="60DE411D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7" w:type="dxa"/>
            <w:gridSpan w:val="3"/>
          </w:tcPr>
          <w:p w14:paraId="4974D53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2" w:type="dxa"/>
          </w:tcPr>
          <w:p w14:paraId="22249D7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2" w:type="dxa"/>
          </w:tcPr>
          <w:p w14:paraId="71B982B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245,900</w:t>
            </w:r>
          </w:p>
        </w:tc>
      </w:tr>
      <w:tr w14:paraId="6932CC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94" w:type="dxa"/>
          </w:tcPr>
          <w:p w14:paraId="3922DB0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9" w:type="dxa"/>
          </w:tcPr>
          <w:p w14:paraId="0938936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14:paraId="5A7B8852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4" w:type="dxa"/>
          </w:tcPr>
          <w:p w14:paraId="50298A9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544,700</w:t>
            </w:r>
          </w:p>
        </w:tc>
        <w:tc>
          <w:tcPr>
            <w:tcW w:w="236" w:type="dxa"/>
            <w:gridSpan w:val="3"/>
          </w:tcPr>
          <w:p w14:paraId="64B632F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7" w:type="dxa"/>
            <w:gridSpan w:val="3"/>
          </w:tcPr>
          <w:p w14:paraId="3CCE40D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2" w:type="dxa"/>
          </w:tcPr>
          <w:p w14:paraId="4F995AE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2" w:type="dxa"/>
          </w:tcPr>
          <w:p w14:paraId="49414CF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377,400</w:t>
            </w:r>
          </w:p>
        </w:tc>
      </w:tr>
      <w:tr w14:paraId="3475FA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94" w:type="dxa"/>
          </w:tcPr>
          <w:p w14:paraId="5CD6F8C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Non-current liabilities</w:t>
            </w:r>
          </w:p>
        </w:tc>
        <w:tc>
          <w:tcPr>
            <w:tcW w:w="1249" w:type="dxa"/>
          </w:tcPr>
          <w:p w14:paraId="3E13DBB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14:paraId="1ADFDB83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4" w:type="dxa"/>
          </w:tcPr>
          <w:p w14:paraId="18F4EBA3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6" w:type="dxa"/>
            <w:gridSpan w:val="3"/>
          </w:tcPr>
          <w:p w14:paraId="070084C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7" w:type="dxa"/>
            <w:gridSpan w:val="3"/>
          </w:tcPr>
          <w:p w14:paraId="39F2F22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2" w:type="dxa"/>
          </w:tcPr>
          <w:p w14:paraId="38419C6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2" w:type="dxa"/>
          </w:tcPr>
          <w:p w14:paraId="481A4FD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14:paraId="01C5E1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94" w:type="dxa"/>
          </w:tcPr>
          <w:p w14:paraId="2D0FED8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10% debentures</w:t>
            </w:r>
          </w:p>
        </w:tc>
        <w:tc>
          <w:tcPr>
            <w:tcW w:w="1249" w:type="dxa"/>
          </w:tcPr>
          <w:p w14:paraId="57175B0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14:paraId="360C34B3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120,000</w:t>
            </w:r>
          </w:p>
        </w:tc>
        <w:tc>
          <w:tcPr>
            <w:tcW w:w="1214" w:type="dxa"/>
          </w:tcPr>
          <w:p w14:paraId="0D4E74F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6" w:type="dxa"/>
            <w:gridSpan w:val="3"/>
          </w:tcPr>
          <w:p w14:paraId="15EB166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7" w:type="dxa"/>
            <w:gridSpan w:val="3"/>
          </w:tcPr>
          <w:p w14:paraId="76C851D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2" w:type="dxa"/>
          </w:tcPr>
          <w:p w14:paraId="7DF8F48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180,000</w:t>
            </w:r>
          </w:p>
        </w:tc>
        <w:tc>
          <w:tcPr>
            <w:tcW w:w="1112" w:type="dxa"/>
          </w:tcPr>
          <w:p w14:paraId="52C8F0A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14:paraId="431D8F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94" w:type="dxa"/>
          </w:tcPr>
          <w:p w14:paraId="1F65345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Finance Leases</w:t>
            </w:r>
          </w:p>
        </w:tc>
        <w:tc>
          <w:tcPr>
            <w:tcW w:w="1249" w:type="dxa"/>
          </w:tcPr>
          <w:p w14:paraId="0895B41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14:paraId="722BAA7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6,300</w:t>
            </w:r>
          </w:p>
        </w:tc>
        <w:tc>
          <w:tcPr>
            <w:tcW w:w="1214" w:type="dxa"/>
          </w:tcPr>
          <w:p w14:paraId="10370FE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126,300</w:t>
            </w:r>
          </w:p>
        </w:tc>
        <w:tc>
          <w:tcPr>
            <w:tcW w:w="236" w:type="dxa"/>
            <w:gridSpan w:val="3"/>
          </w:tcPr>
          <w:p w14:paraId="2B69591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7" w:type="dxa"/>
            <w:gridSpan w:val="3"/>
          </w:tcPr>
          <w:p w14:paraId="038BE19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2" w:type="dxa"/>
          </w:tcPr>
          <w:p w14:paraId="2858FDB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3,200</w:t>
            </w:r>
          </w:p>
        </w:tc>
        <w:tc>
          <w:tcPr>
            <w:tcW w:w="1112" w:type="dxa"/>
          </w:tcPr>
          <w:p w14:paraId="790B573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183,200</w:t>
            </w:r>
          </w:p>
        </w:tc>
      </w:tr>
      <w:tr w14:paraId="2EDC6C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94" w:type="dxa"/>
          </w:tcPr>
          <w:p w14:paraId="6020B08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Current liabilities</w:t>
            </w:r>
          </w:p>
        </w:tc>
        <w:tc>
          <w:tcPr>
            <w:tcW w:w="1249" w:type="dxa"/>
          </w:tcPr>
          <w:p w14:paraId="612248C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14:paraId="7B4F94B2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4" w:type="dxa"/>
          </w:tcPr>
          <w:p w14:paraId="370861A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6" w:type="dxa"/>
            <w:gridSpan w:val="3"/>
          </w:tcPr>
          <w:p w14:paraId="57974093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7" w:type="dxa"/>
            <w:gridSpan w:val="3"/>
          </w:tcPr>
          <w:p w14:paraId="6095195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2" w:type="dxa"/>
          </w:tcPr>
          <w:p w14:paraId="52FB46C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2" w:type="dxa"/>
          </w:tcPr>
          <w:p w14:paraId="0CD6FE0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14:paraId="3B44BE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94" w:type="dxa"/>
          </w:tcPr>
          <w:p w14:paraId="593C0E9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Trade Payables</w:t>
            </w:r>
          </w:p>
        </w:tc>
        <w:tc>
          <w:tcPr>
            <w:tcW w:w="1249" w:type="dxa"/>
          </w:tcPr>
          <w:p w14:paraId="7007D23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14:paraId="7718D71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91,200</w:t>
            </w:r>
          </w:p>
        </w:tc>
        <w:tc>
          <w:tcPr>
            <w:tcW w:w="1214" w:type="dxa"/>
          </w:tcPr>
          <w:p w14:paraId="0F001C92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6" w:type="dxa"/>
            <w:gridSpan w:val="3"/>
          </w:tcPr>
          <w:p w14:paraId="1254BBB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7" w:type="dxa"/>
            <w:gridSpan w:val="3"/>
          </w:tcPr>
          <w:p w14:paraId="57B261E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2" w:type="dxa"/>
          </w:tcPr>
          <w:p w14:paraId="7162AF82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129,100</w:t>
            </w:r>
          </w:p>
        </w:tc>
        <w:tc>
          <w:tcPr>
            <w:tcW w:w="1112" w:type="dxa"/>
          </w:tcPr>
          <w:p w14:paraId="71F41133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14:paraId="398B42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94" w:type="dxa"/>
          </w:tcPr>
          <w:p w14:paraId="575A654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Taxation</w:t>
            </w:r>
          </w:p>
        </w:tc>
        <w:tc>
          <w:tcPr>
            <w:tcW w:w="1249" w:type="dxa"/>
          </w:tcPr>
          <w:p w14:paraId="41EBEB1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14:paraId="12A7E30D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47,500</w:t>
            </w:r>
          </w:p>
        </w:tc>
        <w:tc>
          <w:tcPr>
            <w:tcW w:w="1214" w:type="dxa"/>
          </w:tcPr>
          <w:p w14:paraId="4DBE149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6" w:type="dxa"/>
            <w:gridSpan w:val="3"/>
          </w:tcPr>
          <w:p w14:paraId="10286E13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7" w:type="dxa"/>
            <w:gridSpan w:val="3"/>
          </w:tcPr>
          <w:p w14:paraId="7A138F7D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2" w:type="dxa"/>
          </w:tcPr>
          <w:p w14:paraId="5B749E4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38,500</w:t>
            </w:r>
          </w:p>
        </w:tc>
        <w:tc>
          <w:tcPr>
            <w:tcW w:w="1112" w:type="dxa"/>
          </w:tcPr>
          <w:p w14:paraId="23E8EAF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14:paraId="6779C3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94" w:type="dxa"/>
          </w:tcPr>
          <w:p w14:paraId="2E906A5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Finance Leases</w:t>
            </w:r>
          </w:p>
        </w:tc>
        <w:tc>
          <w:tcPr>
            <w:tcW w:w="1249" w:type="dxa"/>
          </w:tcPr>
          <w:p w14:paraId="754CF1A2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14:paraId="23DEC61F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11,500</w:t>
            </w:r>
          </w:p>
        </w:tc>
        <w:tc>
          <w:tcPr>
            <w:tcW w:w="1214" w:type="dxa"/>
          </w:tcPr>
          <w:p w14:paraId="346346E3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6" w:type="dxa"/>
            <w:gridSpan w:val="3"/>
          </w:tcPr>
          <w:p w14:paraId="5FA35212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7" w:type="dxa"/>
            <w:gridSpan w:val="3"/>
          </w:tcPr>
          <w:p w14:paraId="1790740D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2" w:type="dxa"/>
          </w:tcPr>
          <w:p w14:paraId="1BC0E5B3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4,300</w:t>
            </w:r>
          </w:p>
        </w:tc>
        <w:tc>
          <w:tcPr>
            <w:tcW w:w="1112" w:type="dxa"/>
          </w:tcPr>
          <w:p w14:paraId="5238C8B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14:paraId="30FB89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94" w:type="dxa"/>
          </w:tcPr>
          <w:p w14:paraId="4559010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Bank overdraft</w:t>
            </w:r>
          </w:p>
        </w:tc>
        <w:tc>
          <w:tcPr>
            <w:tcW w:w="1249" w:type="dxa"/>
          </w:tcPr>
          <w:p w14:paraId="0288A7C3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14:paraId="4F9884E2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1,200</w:t>
            </w:r>
          </w:p>
        </w:tc>
        <w:tc>
          <w:tcPr>
            <w:tcW w:w="1214" w:type="dxa"/>
          </w:tcPr>
          <w:p w14:paraId="292EAFE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151,400</w:t>
            </w:r>
          </w:p>
        </w:tc>
        <w:tc>
          <w:tcPr>
            <w:tcW w:w="236" w:type="dxa"/>
            <w:gridSpan w:val="3"/>
          </w:tcPr>
          <w:p w14:paraId="7F1F7E5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7" w:type="dxa"/>
            <w:gridSpan w:val="3"/>
          </w:tcPr>
          <w:p w14:paraId="763FDE9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2" w:type="dxa"/>
          </w:tcPr>
          <w:p w14:paraId="0B4B769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2" w:type="dxa"/>
          </w:tcPr>
          <w:p w14:paraId="69104A3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171,900</w:t>
            </w:r>
          </w:p>
        </w:tc>
      </w:tr>
      <w:tr w14:paraId="098C81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94" w:type="dxa"/>
          </w:tcPr>
          <w:p w14:paraId="3CCB615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9" w:type="dxa"/>
          </w:tcPr>
          <w:p w14:paraId="61620B1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14:paraId="09504BF3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4" w:type="dxa"/>
          </w:tcPr>
          <w:p w14:paraId="687E4D8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882,400</w:t>
            </w:r>
          </w:p>
        </w:tc>
        <w:tc>
          <w:tcPr>
            <w:tcW w:w="236" w:type="dxa"/>
            <w:gridSpan w:val="3"/>
          </w:tcPr>
          <w:p w14:paraId="5071A40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7" w:type="dxa"/>
            <w:gridSpan w:val="3"/>
          </w:tcPr>
          <w:p w14:paraId="32AEE59B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2" w:type="dxa"/>
          </w:tcPr>
          <w:p w14:paraId="7AAB3A3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2" w:type="dxa"/>
          </w:tcPr>
          <w:p w14:paraId="15E4E75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732,500</w:t>
            </w:r>
          </w:p>
        </w:tc>
      </w:tr>
    </w:tbl>
    <w:p w14:paraId="3ADAC8A6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05D1CB9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Statement of Changes in Equity</w:t>
      </w:r>
    </w:p>
    <w:p w14:paraId="1AC29BA4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31-December 2025</w:t>
      </w:r>
    </w:p>
    <w:tbl>
      <w:tblPr>
        <w:tblStyle w:val="6"/>
        <w:tblW w:w="9281" w:type="dxa"/>
        <w:tblInd w:w="-7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80"/>
        <w:gridCol w:w="1275"/>
        <w:gridCol w:w="1418"/>
        <w:gridCol w:w="1841"/>
        <w:gridCol w:w="1167"/>
      </w:tblGrid>
      <w:tr w14:paraId="6B83F1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580" w:type="dxa"/>
          </w:tcPr>
          <w:p w14:paraId="7954282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5" w:type="dxa"/>
          </w:tcPr>
          <w:p w14:paraId="2C95F93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Share</w:t>
            </w:r>
          </w:p>
          <w:p w14:paraId="1086E67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Capital</w:t>
            </w:r>
          </w:p>
        </w:tc>
        <w:tc>
          <w:tcPr>
            <w:tcW w:w="1418" w:type="dxa"/>
          </w:tcPr>
          <w:p w14:paraId="22430B4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Share premium</w:t>
            </w:r>
          </w:p>
        </w:tc>
        <w:tc>
          <w:tcPr>
            <w:tcW w:w="1841" w:type="dxa"/>
          </w:tcPr>
          <w:p w14:paraId="0114DCF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Profit and loss account</w:t>
            </w:r>
          </w:p>
        </w:tc>
        <w:tc>
          <w:tcPr>
            <w:tcW w:w="1167" w:type="dxa"/>
          </w:tcPr>
          <w:p w14:paraId="186EBE3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Total</w:t>
            </w:r>
          </w:p>
        </w:tc>
      </w:tr>
      <w:tr w14:paraId="26B3C0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580" w:type="dxa"/>
          </w:tcPr>
          <w:p w14:paraId="3FD32B0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</w:tcPr>
          <w:p w14:paraId="23265DA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Ksh’000</w:t>
            </w:r>
          </w:p>
        </w:tc>
        <w:tc>
          <w:tcPr>
            <w:tcW w:w="1418" w:type="dxa"/>
          </w:tcPr>
          <w:p w14:paraId="11E456D2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Ksh’000</w:t>
            </w:r>
          </w:p>
        </w:tc>
        <w:tc>
          <w:tcPr>
            <w:tcW w:w="1841" w:type="dxa"/>
          </w:tcPr>
          <w:p w14:paraId="7FE366C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Ksh’000</w:t>
            </w:r>
          </w:p>
        </w:tc>
        <w:tc>
          <w:tcPr>
            <w:tcW w:w="1167" w:type="dxa"/>
          </w:tcPr>
          <w:p w14:paraId="51EA5B0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Ksh’000</w:t>
            </w:r>
          </w:p>
        </w:tc>
      </w:tr>
      <w:tr w14:paraId="661741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580" w:type="dxa"/>
          </w:tcPr>
          <w:p w14:paraId="58E4A40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Balance 1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st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January 2025</w:t>
            </w:r>
          </w:p>
        </w:tc>
        <w:tc>
          <w:tcPr>
            <w:tcW w:w="1275" w:type="dxa"/>
          </w:tcPr>
          <w:p w14:paraId="5676B0B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110,000</w:t>
            </w:r>
          </w:p>
        </w:tc>
        <w:tc>
          <w:tcPr>
            <w:tcW w:w="1418" w:type="dxa"/>
          </w:tcPr>
          <w:p w14:paraId="2266FB9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21,500</w:t>
            </w:r>
          </w:p>
        </w:tc>
        <w:tc>
          <w:tcPr>
            <w:tcW w:w="1841" w:type="dxa"/>
          </w:tcPr>
          <w:p w14:paraId="63CF44F2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245,900</w:t>
            </w:r>
          </w:p>
        </w:tc>
        <w:tc>
          <w:tcPr>
            <w:tcW w:w="1167" w:type="dxa"/>
          </w:tcPr>
          <w:p w14:paraId="2194D760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377,400</w:t>
            </w:r>
          </w:p>
        </w:tc>
      </w:tr>
      <w:tr w14:paraId="4EF79A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580" w:type="dxa"/>
          </w:tcPr>
          <w:p w14:paraId="2528C03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Profit for the year</w:t>
            </w:r>
          </w:p>
        </w:tc>
        <w:tc>
          <w:tcPr>
            <w:tcW w:w="1275" w:type="dxa"/>
          </w:tcPr>
          <w:p w14:paraId="27629B9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</w:tcPr>
          <w:p w14:paraId="0CF74CF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1" w:type="dxa"/>
          </w:tcPr>
          <w:p w14:paraId="064F7AAB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150,100</w:t>
            </w:r>
          </w:p>
        </w:tc>
        <w:tc>
          <w:tcPr>
            <w:tcW w:w="1167" w:type="dxa"/>
          </w:tcPr>
          <w:p w14:paraId="32219FA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150,100</w:t>
            </w:r>
          </w:p>
        </w:tc>
      </w:tr>
      <w:tr w14:paraId="7C769D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580" w:type="dxa"/>
          </w:tcPr>
          <w:p w14:paraId="0BEDD9A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Dividends</w:t>
            </w:r>
          </w:p>
        </w:tc>
        <w:tc>
          <w:tcPr>
            <w:tcW w:w="1275" w:type="dxa"/>
          </w:tcPr>
          <w:p w14:paraId="3EC33F92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</w:tcPr>
          <w:p w14:paraId="636A997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1" w:type="dxa"/>
          </w:tcPr>
          <w:p w14:paraId="0B8DFA0B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(58,000)</w:t>
            </w:r>
          </w:p>
        </w:tc>
        <w:tc>
          <w:tcPr>
            <w:tcW w:w="1167" w:type="dxa"/>
          </w:tcPr>
          <w:p w14:paraId="60BE37F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(58,000)</w:t>
            </w:r>
          </w:p>
        </w:tc>
      </w:tr>
      <w:tr w14:paraId="7F437D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580" w:type="dxa"/>
          </w:tcPr>
          <w:p w14:paraId="6D73179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Share issue for cash</w:t>
            </w:r>
          </w:p>
        </w:tc>
        <w:tc>
          <w:tcPr>
            <w:tcW w:w="1275" w:type="dxa"/>
          </w:tcPr>
          <w:p w14:paraId="735DEED3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47,000</w:t>
            </w:r>
          </w:p>
        </w:tc>
        <w:tc>
          <w:tcPr>
            <w:tcW w:w="1418" w:type="dxa"/>
          </w:tcPr>
          <w:p w14:paraId="759FFA2D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28,200</w:t>
            </w:r>
          </w:p>
        </w:tc>
        <w:tc>
          <w:tcPr>
            <w:tcW w:w="1841" w:type="dxa"/>
          </w:tcPr>
          <w:p w14:paraId="154D955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67" w:type="dxa"/>
          </w:tcPr>
          <w:p w14:paraId="5C673AB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75,200</w:t>
            </w:r>
          </w:p>
        </w:tc>
      </w:tr>
      <w:tr w14:paraId="02B89C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580" w:type="dxa"/>
          </w:tcPr>
          <w:p w14:paraId="5B30AD3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Balance 31</w:t>
            </w:r>
            <w:r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st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December 2025</w:t>
            </w:r>
          </w:p>
        </w:tc>
        <w:tc>
          <w:tcPr>
            <w:tcW w:w="1275" w:type="dxa"/>
          </w:tcPr>
          <w:p w14:paraId="757234B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157,000</w:t>
            </w:r>
          </w:p>
        </w:tc>
        <w:tc>
          <w:tcPr>
            <w:tcW w:w="1418" w:type="dxa"/>
          </w:tcPr>
          <w:p w14:paraId="395CC4CB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49,700</w:t>
            </w:r>
          </w:p>
        </w:tc>
        <w:tc>
          <w:tcPr>
            <w:tcW w:w="1841" w:type="dxa"/>
          </w:tcPr>
          <w:p w14:paraId="36F66CB3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338,000</w:t>
            </w:r>
          </w:p>
        </w:tc>
        <w:tc>
          <w:tcPr>
            <w:tcW w:w="1167" w:type="dxa"/>
          </w:tcPr>
          <w:p w14:paraId="26B4D76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544,700</w:t>
            </w:r>
          </w:p>
        </w:tc>
      </w:tr>
    </w:tbl>
    <w:p w14:paraId="3A89790A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4D651E2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Additional information </w:t>
      </w:r>
    </w:p>
    <w:p w14:paraId="33CCC327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There were no disposals of land and buildings during the year.</w:t>
      </w:r>
    </w:p>
    <w:p w14:paraId="51677167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total amount paid in the year to 31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st</w:t>
      </w:r>
      <w:r>
        <w:rPr>
          <w:rFonts w:ascii="Times New Roman" w:hAnsi="Times New Roman" w:cs="Times New Roman"/>
          <w:sz w:val="24"/>
          <w:szCs w:val="24"/>
        </w:rPr>
        <w:t xml:space="preserve"> December 2025 in respect of finance leases was Ksh3 million of which Ksh500, 000 was interest. Leases were used to finance additions to equipment.</w:t>
      </w:r>
    </w:p>
    <w:p w14:paraId="08766C24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Equipment with a net book value of Ksh48 million and an original cost of Ksh104 million was sold during the year for Ksh36 million.</w:t>
      </w:r>
    </w:p>
    <w:p w14:paraId="421F4DE3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corporation tax charge for the year to 31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st</w:t>
      </w:r>
      <w:r>
        <w:rPr>
          <w:rFonts w:ascii="Times New Roman" w:hAnsi="Times New Roman" w:cs="Times New Roman"/>
          <w:sz w:val="24"/>
          <w:szCs w:val="24"/>
        </w:rPr>
        <w:t xml:space="preserve"> December 2025 was Ksh60 million </w:t>
      </w:r>
    </w:p>
    <w:p w14:paraId="45FBC8C5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debentures were repaid on 30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th</w:t>
      </w:r>
      <w:r>
        <w:rPr>
          <w:rFonts w:ascii="Times New Roman" w:hAnsi="Times New Roman" w:cs="Times New Roman"/>
          <w:sz w:val="24"/>
          <w:szCs w:val="24"/>
        </w:rPr>
        <w:t xml:space="preserve"> June 2025</w:t>
      </w:r>
    </w:p>
    <w:p w14:paraId="6751F618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There were no interest charges other than debenture interest and interest on finance leases.</w:t>
      </w:r>
    </w:p>
    <w:p w14:paraId="4E5AF054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Investments are in 91-days Treasury Bills</w:t>
      </w:r>
    </w:p>
    <w:p w14:paraId="716C41CA">
      <w:pPr>
        <w:pStyle w:val="3"/>
        <w:rPr>
          <w:rFonts w:ascii="Times New Roman" w:hAnsi="Times New Roman" w:cs="Times New Roman"/>
          <w:sz w:val="24"/>
          <w:szCs w:val="24"/>
        </w:rPr>
      </w:pPr>
    </w:p>
    <w:p w14:paraId="10E91F64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Required: Prepare a cash flow statement for ABC Limited in accordance with IAS 7 Cash Flow Statements</w:t>
      </w: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for the year ended 31st December 2025    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              </w:t>
      </w:r>
      <w:r>
        <w:rPr>
          <w:rFonts w:ascii="Times New Roman" w:hAnsi="Times New Roman" w:cs="Times New Roman"/>
          <w:b/>
          <w:bCs/>
          <w:sz w:val="24"/>
          <w:szCs w:val="24"/>
        </w:rPr>
        <w:t>(15 marks)</w:t>
      </w:r>
      <w:r>
        <w:tab/>
      </w:r>
    </w:p>
    <w:p w14:paraId="4DC7E8DF">
      <w:pPr>
        <w:pStyle w:val="14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bookmarkStart w:id="1" w:name="_Hlk179783966"/>
      <w:bookmarkStart w:id="2" w:name="_Hlk179784869"/>
      <w:r>
        <w:rPr>
          <w:rFonts w:ascii="Times New Roman" w:hAnsi="Times New Roman" w:cs="Times New Roman"/>
          <w:sz w:val="24"/>
          <w:szCs w:val="24"/>
        </w:rPr>
        <w:t xml:space="preserve">Explain </w:t>
      </w:r>
      <w:r>
        <w:rPr>
          <w:rFonts w:ascii="Times New Roman" w:hAnsi="Times New Roman" w:cs="Times New Roman"/>
          <w:b/>
          <w:sz w:val="24"/>
          <w:szCs w:val="24"/>
        </w:rPr>
        <w:t xml:space="preserve">FOUR </w:t>
      </w:r>
      <w:r>
        <w:rPr>
          <w:rFonts w:ascii="Times New Roman" w:hAnsi="Times New Roman" w:cs="Times New Roman"/>
          <w:sz w:val="24"/>
          <w:szCs w:val="24"/>
        </w:rPr>
        <w:t xml:space="preserve">qualitative characteristics of useful financial information   </w:t>
      </w:r>
      <w:r>
        <w:rPr>
          <w:rFonts w:ascii="Times New Roman" w:hAnsi="Times New Roman" w:cs="Times New Roman"/>
          <w:b/>
          <w:sz w:val="24"/>
          <w:szCs w:val="24"/>
        </w:rPr>
        <w:t xml:space="preserve">(10 marks) </w:t>
      </w:r>
    </w:p>
    <w:p w14:paraId="034B6F0C">
      <w:pPr>
        <w:pStyle w:val="14"/>
        <w:rPr>
          <w:rFonts w:ascii="Times New Roman" w:hAnsi="Times New Roman" w:cs="Times New Roman"/>
          <w:b/>
          <w:sz w:val="24"/>
          <w:szCs w:val="24"/>
        </w:rPr>
      </w:pPr>
    </w:p>
    <w:p w14:paraId="59B9C59A">
      <w:pPr>
        <w:pStyle w:val="14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Explain </w:t>
      </w:r>
      <w:r>
        <w:rPr>
          <w:rFonts w:ascii="Times New Roman" w:hAnsi="Times New Roman" w:cs="Times New Roman"/>
          <w:b/>
          <w:sz w:val="24"/>
          <w:szCs w:val="24"/>
        </w:rPr>
        <w:t xml:space="preserve">FIVE </w:t>
      </w:r>
      <w:r>
        <w:rPr>
          <w:rFonts w:ascii="Times New Roman" w:hAnsi="Times New Roman" w:cs="Times New Roman"/>
          <w:sz w:val="24"/>
          <w:szCs w:val="24"/>
        </w:rPr>
        <w:t>features of 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>capital lease in accounting for leases                 (</w:t>
      </w:r>
      <w:r>
        <w:rPr>
          <w:rFonts w:ascii="Times New Roman" w:hAnsi="Times New Roman" w:cs="Times New Roman"/>
          <w:b/>
          <w:sz w:val="24"/>
          <w:szCs w:val="24"/>
        </w:rPr>
        <w:t>5 marks)</w:t>
      </w:r>
    </w:p>
    <w:p w14:paraId="11E642D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bookmarkEnd w:id="1"/>
    <w:bookmarkEnd w:id="2"/>
    <w:p w14:paraId="6C15317A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QUESTION TWO</w:t>
      </w:r>
    </w:p>
    <w:p w14:paraId="4C964F79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39EE2554">
      <w:pPr>
        <w:pStyle w:val="14"/>
        <w:numPr>
          <w:ilvl w:val="0"/>
          <w:numId w:val="3"/>
        </w:numPr>
        <w:spacing w:after="0" w:line="240" w:lineRule="auto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Consider a bond with a coupon rate of 12% and market interest rate of 14%. The bond has a face value of sh.12, 000,000 and interest is payable semiannually for 3 years. </w:t>
      </w:r>
    </w:p>
    <w:p w14:paraId="001AE2DC">
      <w:pPr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Required: </w:t>
      </w:r>
    </w:p>
    <w:p w14:paraId="56A6A658">
      <w:pPr>
        <w:pStyle w:val="14"/>
        <w:numPr>
          <w:ilvl w:val="0"/>
          <w:numId w:val="4"/>
        </w:numPr>
        <w:spacing w:after="0" w:line="240" w:lineRule="auto"/>
        <w:jc w:val="both"/>
        <w:outlineLvl w:val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Calculate the value of the bond (amount of the proceeds from the issuance of this bond)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b/>
          <w:bCs/>
          <w:sz w:val="24"/>
          <w:szCs w:val="24"/>
        </w:rPr>
        <w:t>(6 marks)</w:t>
      </w:r>
    </w:p>
    <w:p w14:paraId="11D51628">
      <w:pPr>
        <w:spacing w:after="0" w:line="240" w:lineRule="auto"/>
        <w:jc w:val="both"/>
        <w:outlineLvl w:val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05259FA6">
      <w:pPr>
        <w:pStyle w:val="14"/>
        <w:numPr>
          <w:ilvl w:val="0"/>
          <w:numId w:val="4"/>
        </w:numPr>
        <w:spacing w:after="0" w:line="240" w:lineRule="auto"/>
        <w:jc w:val="both"/>
        <w:outlineLvl w:val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Is the bond sold at a premium or discount? Indicate the amount                      </w:t>
      </w:r>
      <w:r>
        <w:rPr>
          <w:rFonts w:ascii="Times New Roman" w:hAnsi="Times New Roman" w:cs="Times New Roman"/>
          <w:b/>
          <w:bCs/>
          <w:sz w:val="24"/>
          <w:szCs w:val="24"/>
        </w:rPr>
        <w:t>(2 marks)</w:t>
      </w:r>
    </w:p>
    <w:p w14:paraId="6B7B6936">
      <w:pPr>
        <w:spacing w:after="0" w:line="240" w:lineRule="auto"/>
        <w:jc w:val="both"/>
        <w:outlineLvl w:val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7614E638">
      <w:pPr>
        <w:pStyle w:val="14"/>
        <w:numPr>
          <w:ilvl w:val="0"/>
          <w:numId w:val="4"/>
        </w:numPr>
        <w:spacing w:after="0" w:line="240" w:lineRule="auto"/>
        <w:jc w:val="both"/>
        <w:outlineLvl w:val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Record the issuance of the bond using a journal entry                                     </w:t>
      </w:r>
      <w:r>
        <w:rPr>
          <w:rFonts w:ascii="Times New Roman" w:hAnsi="Times New Roman" w:cs="Times New Roman"/>
          <w:b/>
          <w:bCs/>
          <w:sz w:val="24"/>
          <w:szCs w:val="24"/>
        </w:rPr>
        <w:t>(2 mark)</w:t>
      </w:r>
    </w:p>
    <w:p w14:paraId="37F40C41">
      <w:pPr>
        <w:spacing w:after="0" w:line="240" w:lineRule="auto"/>
        <w:jc w:val="both"/>
        <w:outlineLvl w:val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2DA26F9D">
      <w:pPr>
        <w:pStyle w:val="14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Evaluate </w:t>
      </w:r>
      <w:r>
        <w:rPr>
          <w:rFonts w:ascii="Times New Roman" w:hAnsi="Times New Roman" w:cs="Times New Roman"/>
          <w:b/>
          <w:sz w:val="24"/>
          <w:szCs w:val="24"/>
        </w:rPr>
        <w:t>FIVE</w:t>
      </w:r>
      <w:r>
        <w:rPr>
          <w:rFonts w:ascii="Times New Roman" w:hAnsi="Times New Roman" w:cs="Times New Roman"/>
          <w:sz w:val="24"/>
          <w:szCs w:val="24"/>
        </w:rPr>
        <w:t xml:space="preserve"> generally Accepted Accounting Principles used in measuring and reporting Inventory and Accounts receivables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 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22C0BE28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644B2C4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QUESTION THREE</w:t>
      </w:r>
    </w:p>
    <w:p w14:paraId="3785A44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9623011">
      <w:pPr>
        <w:pStyle w:val="14"/>
        <w:numPr>
          <w:ilvl w:val="0"/>
          <w:numId w:val="5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the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TWO </w:t>
      </w:r>
      <w:r>
        <w:rPr>
          <w:rFonts w:ascii="Times New Roman" w:hAnsi="Times New Roman" w:cs="Times New Roman"/>
          <w:sz w:val="24"/>
          <w:szCs w:val="24"/>
        </w:rPr>
        <w:t xml:space="preserve">differences between </w:t>
      </w:r>
      <w:r>
        <w:rPr>
          <w:rFonts w:ascii="Times New Roman" w:hAnsi="Times New Roman" w:cs="Times New Roman"/>
          <w:b/>
          <w:sz w:val="24"/>
          <w:szCs w:val="24"/>
        </w:rPr>
        <w:t>sale without recourse</w:t>
      </w:r>
      <w:r>
        <w:rPr>
          <w:rFonts w:ascii="Times New Roman" w:hAnsi="Times New Roman" w:cs="Times New Roman"/>
          <w:sz w:val="24"/>
          <w:szCs w:val="24"/>
        </w:rPr>
        <w:t xml:space="preserve"> and </w:t>
      </w:r>
      <w:r>
        <w:rPr>
          <w:rFonts w:ascii="Times New Roman" w:hAnsi="Times New Roman" w:cs="Times New Roman"/>
          <w:b/>
          <w:sz w:val="24"/>
          <w:szCs w:val="24"/>
        </w:rPr>
        <w:t>sale with recourse</w:t>
      </w:r>
      <w:r>
        <w:rPr>
          <w:rFonts w:ascii="Times New Roman" w:hAnsi="Times New Roman" w:cs="Times New Roman"/>
          <w:sz w:val="24"/>
          <w:szCs w:val="24"/>
        </w:rPr>
        <w:t xml:space="preserve"> as used in the sale of accounts receivable also referred to as factory             </w:t>
      </w:r>
      <w:r>
        <w:rPr>
          <w:rFonts w:ascii="Times New Roman" w:hAnsi="Times New Roman" w:cs="Times New Roman"/>
          <w:b/>
          <w:sz w:val="24"/>
          <w:szCs w:val="24"/>
        </w:rPr>
        <w:t>(4 marks)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6D7C62F">
      <w:pPr>
        <w:pStyle w:val="14"/>
        <w:numPr>
          <w:ilvl w:val="0"/>
          <w:numId w:val="5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Using examples, explain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FOUR </w:t>
      </w:r>
      <w:r>
        <w:rPr>
          <w:rFonts w:ascii="Times New Roman" w:hAnsi="Times New Roman" w:cs="Times New Roman"/>
          <w:bCs/>
          <w:sz w:val="24"/>
          <w:szCs w:val="24"/>
        </w:rPr>
        <w:t>categories of financial ratios used to interpret and evaluate financial information.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(8 marks)</w:t>
      </w:r>
    </w:p>
    <w:p w14:paraId="7A32DE5F">
      <w:pPr>
        <w:pStyle w:val="14"/>
        <w:rPr>
          <w:rFonts w:ascii="Times New Roman" w:hAnsi="Times New Roman" w:cs="Times New Roman"/>
          <w:b/>
          <w:sz w:val="24"/>
          <w:szCs w:val="24"/>
        </w:rPr>
      </w:pPr>
    </w:p>
    <w:p w14:paraId="302B2DE6">
      <w:pPr>
        <w:pStyle w:val="14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ABC limited purchased goods worth sh.840, 000 from a credit supplier. The trade discount was 7%. The suppliers offered a 60 days credit period. At the end of the 60 days the company renegotiated for extension by accepting Notes payable for 90 days at annual interest rate of 12.5%. The company honored the notes payable on the due date.</w:t>
      </w:r>
    </w:p>
    <w:p w14:paraId="038C997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Required;</w:t>
      </w:r>
    </w:p>
    <w:p w14:paraId="2F215143">
      <w:pPr>
        <w:pStyle w:val="14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Prepare a journal entry at the date of purchase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     </w:t>
      </w:r>
      <w:r>
        <w:rPr>
          <w:rFonts w:ascii="Times New Roman" w:hAnsi="Times New Roman" w:cs="Times New Roman"/>
          <w:b/>
          <w:bCs/>
          <w:sz w:val="24"/>
          <w:szCs w:val="24"/>
        </w:rPr>
        <w:t>(2 marks)</w:t>
      </w:r>
    </w:p>
    <w:p w14:paraId="55588861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33C8B4F">
      <w:pPr>
        <w:pStyle w:val="14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Prepare a journal entry at acceptance of Notes payable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     </w:t>
      </w:r>
      <w:r>
        <w:rPr>
          <w:rFonts w:ascii="Times New Roman" w:hAnsi="Times New Roman" w:cs="Times New Roman"/>
          <w:b/>
          <w:bCs/>
          <w:sz w:val="24"/>
          <w:szCs w:val="24"/>
        </w:rPr>
        <w:t>(2 marks)</w:t>
      </w:r>
    </w:p>
    <w:p w14:paraId="5323FAD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0EBA9C0">
      <w:pPr>
        <w:pStyle w:val="14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Compute the amount paid on maturity of the Notes payable and record the same using a journal entry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>
        <w:rPr>
          <w:rFonts w:ascii="Times New Roman" w:hAnsi="Times New Roman" w:cs="Times New Roman"/>
          <w:b/>
          <w:bCs/>
          <w:sz w:val="24"/>
          <w:szCs w:val="24"/>
        </w:rPr>
        <w:t>(4 marks)</w:t>
      </w:r>
    </w:p>
    <w:p w14:paraId="72C8491D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54079B3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FOUR </w:t>
      </w:r>
    </w:p>
    <w:p w14:paraId="7A549348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67B59D5">
      <w:pPr>
        <w:pStyle w:val="14"/>
        <w:numPr>
          <w:ilvl w:val="0"/>
          <w:numId w:val="7"/>
        </w:numPr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Describe </w:t>
      </w:r>
      <w:r>
        <w:rPr>
          <w:rFonts w:ascii="Times New Roman" w:hAnsi="Times New Roman" w:cs="Times New Roman"/>
          <w:b/>
          <w:bCs/>
          <w:sz w:val="24"/>
          <w:szCs w:val="24"/>
        </w:rPr>
        <w:t>THREE</w:t>
      </w:r>
      <w:r>
        <w:rPr>
          <w:rFonts w:ascii="Times New Roman" w:hAnsi="Times New Roman" w:cs="Times New Roman"/>
          <w:bCs/>
          <w:sz w:val="24"/>
          <w:szCs w:val="24"/>
        </w:rPr>
        <w:t xml:space="preserve"> transactions that cause changes in owner’s equity during an accounting period.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 xml:space="preserve">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1CFACF27">
      <w:pPr>
        <w:pStyle w:val="14"/>
        <w:numPr>
          <w:ilvl w:val="0"/>
          <w:numId w:val="7"/>
        </w:numPr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following inventory information is available for January:</w:t>
      </w:r>
    </w:p>
    <w:p w14:paraId="5CE9C623">
      <w:pPr>
        <w:pStyle w:val="23"/>
        <w:keepLines/>
        <w:spacing w:after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 xml:space="preserve">Beginning balance of inventory on </w:t>
      </w:r>
    </w:p>
    <w:p w14:paraId="0F6304AF">
      <w:pPr>
        <w:pStyle w:val="23"/>
        <w:keepLines/>
        <w:spacing w:after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1/1: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>Beginning balance of 1000 units at Shs.5 per unit</w:t>
      </w:r>
    </w:p>
    <w:p w14:paraId="64B76A7D">
      <w:pPr>
        <w:pStyle w:val="23"/>
        <w:keepLines/>
        <w:spacing w:after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1/5: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>Purchased 1500 units at Shs.6</w:t>
      </w:r>
    </w:p>
    <w:p w14:paraId="6B7D3119">
      <w:pPr>
        <w:pStyle w:val="23"/>
        <w:keepLines/>
        <w:spacing w:after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1/7: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>Sold 2000 units at Shs.10</w:t>
      </w:r>
    </w:p>
    <w:p w14:paraId="3CD1774E">
      <w:pPr>
        <w:pStyle w:val="23"/>
        <w:keepLines/>
        <w:spacing w:after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1/14: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>Purchased 1000 units at Shs.7</w:t>
      </w:r>
    </w:p>
    <w:p w14:paraId="4ADAC27A">
      <w:pPr>
        <w:pStyle w:val="23"/>
        <w:keepLines/>
        <w:spacing w:after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1/28: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>Sold 1000 units at Shs.11</w:t>
      </w:r>
    </w:p>
    <w:p w14:paraId="4563A5AD">
      <w:pPr>
        <w:pStyle w:val="23"/>
        <w:keepLines/>
        <w:spacing w:after="0"/>
        <w:rPr>
          <w:b w:val="0"/>
          <w:bCs/>
          <w:sz w:val="24"/>
          <w:szCs w:val="24"/>
        </w:rPr>
      </w:pPr>
    </w:p>
    <w:p w14:paraId="1AD7B225">
      <w:pPr>
        <w:pStyle w:val="23"/>
        <w:keepLines/>
        <w:tabs>
          <w:tab w:val="clear" w:pos="435"/>
        </w:tabs>
        <w:spacing w:after="0"/>
        <w:ind w:left="0" w:firstLine="0"/>
        <w:rPr>
          <w:sz w:val="24"/>
          <w:szCs w:val="24"/>
        </w:rPr>
      </w:pPr>
      <w:r>
        <w:rPr>
          <w:sz w:val="24"/>
          <w:szCs w:val="24"/>
        </w:rPr>
        <w:t xml:space="preserve">Required: </w:t>
      </w:r>
    </w:p>
    <w:p w14:paraId="47C61A2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Using the perpetual inventory system, perform the following:</w:t>
      </w:r>
    </w:p>
    <w:p w14:paraId="38DAD415">
      <w:pPr>
        <w:pStyle w:val="14"/>
        <w:numPr>
          <w:ilvl w:val="0"/>
          <w:numId w:val="8"/>
        </w:numPr>
        <w:spacing w:after="0" w:line="25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Calculate the cost of goods sold (COGS) and closing inventory using the First-In-First-Out (FIFO) method.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3E06EBD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A936D01">
      <w:pPr>
        <w:pStyle w:val="14"/>
        <w:numPr>
          <w:ilvl w:val="0"/>
          <w:numId w:val="8"/>
        </w:numPr>
        <w:spacing w:after="0" w:line="256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Calculate the cost of goods sold (COGS) using the Weighted Average Cost (WAC) method.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74C99288">
      <w:pPr>
        <w:pStyle w:val="14"/>
        <w:rPr>
          <w:rFonts w:ascii="Times New Roman" w:hAnsi="Times New Roman" w:cs="Times New Roman"/>
          <w:sz w:val="24"/>
          <w:szCs w:val="24"/>
        </w:rPr>
      </w:pPr>
    </w:p>
    <w:p w14:paraId="598A6A82">
      <w:pPr>
        <w:pStyle w:val="14"/>
        <w:numPr>
          <w:ilvl w:val="0"/>
          <w:numId w:val="8"/>
        </w:numPr>
        <w:spacing w:after="0" w:line="256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Record purchases and sales transactions on different dates using journal entries under the FIFO method.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6B524442">
      <w:pPr>
        <w:pStyle w:val="14"/>
        <w:ind w:left="900"/>
        <w:rPr>
          <w:rFonts w:ascii="Times New Roman" w:hAnsi="Times New Roman" w:cs="Times New Roman"/>
          <w:bCs/>
          <w:sz w:val="24"/>
          <w:szCs w:val="24"/>
        </w:rPr>
      </w:pPr>
    </w:p>
    <w:p w14:paraId="70221743">
      <w:pPr>
        <w:pStyle w:val="14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sectPr>
      <w:pgSz w:w="11907" w:h="16839"/>
      <w:pgMar w:top="1440" w:right="1440" w:bottom="1440" w:left="144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Bookman Old Style">
    <w:panose1 w:val="02050604050505020204"/>
    <w:charset w:val="00"/>
    <w:family w:val="roman"/>
    <w:pitch w:val="default"/>
    <w:sig w:usb0="00000287" w:usb1="00000000" w:usb2="00000000" w:usb3="00000000" w:csb0="2000009F" w:csb1="DFD7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6F41379"/>
    <w:multiLevelType w:val="multilevel"/>
    <w:tmpl w:val="26F41379"/>
    <w:lvl w:ilvl="0" w:tentative="0">
      <w:start w:val="1"/>
      <w:numFmt w:val="lowerLetter"/>
      <w:lvlText w:val="%1)"/>
      <w:lvlJc w:val="left"/>
      <w:pPr>
        <w:ind w:left="900" w:hanging="360"/>
      </w:pPr>
      <w:rPr>
        <w:b w:val="0"/>
        <w:bCs/>
      </w:rPr>
    </w:lvl>
    <w:lvl w:ilvl="1" w:tentative="0">
      <w:start w:val="1"/>
      <w:numFmt w:val="lowerLetter"/>
      <w:lvlText w:val="%2."/>
      <w:lvlJc w:val="left"/>
      <w:pPr>
        <w:ind w:left="1620" w:hanging="360"/>
      </w:pPr>
    </w:lvl>
    <w:lvl w:ilvl="2" w:tentative="0">
      <w:start w:val="1"/>
      <w:numFmt w:val="lowerRoman"/>
      <w:lvlText w:val="%3."/>
      <w:lvlJc w:val="right"/>
      <w:pPr>
        <w:ind w:left="2340" w:hanging="180"/>
      </w:pPr>
    </w:lvl>
    <w:lvl w:ilvl="3" w:tentative="0">
      <w:start w:val="1"/>
      <w:numFmt w:val="decimal"/>
      <w:lvlText w:val="%4."/>
      <w:lvlJc w:val="left"/>
      <w:pPr>
        <w:ind w:left="3060" w:hanging="360"/>
      </w:pPr>
    </w:lvl>
    <w:lvl w:ilvl="4" w:tentative="0">
      <w:start w:val="1"/>
      <w:numFmt w:val="lowerLetter"/>
      <w:lvlText w:val="%5."/>
      <w:lvlJc w:val="left"/>
      <w:pPr>
        <w:ind w:left="3780" w:hanging="360"/>
      </w:pPr>
    </w:lvl>
    <w:lvl w:ilvl="5" w:tentative="0">
      <w:start w:val="1"/>
      <w:numFmt w:val="lowerRoman"/>
      <w:lvlText w:val="%6."/>
      <w:lvlJc w:val="right"/>
      <w:pPr>
        <w:ind w:left="4500" w:hanging="180"/>
      </w:pPr>
    </w:lvl>
    <w:lvl w:ilvl="6" w:tentative="0">
      <w:start w:val="1"/>
      <w:numFmt w:val="decimal"/>
      <w:lvlText w:val="%7."/>
      <w:lvlJc w:val="left"/>
      <w:pPr>
        <w:ind w:left="5220" w:hanging="360"/>
      </w:pPr>
    </w:lvl>
    <w:lvl w:ilvl="7" w:tentative="0">
      <w:start w:val="1"/>
      <w:numFmt w:val="lowerLetter"/>
      <w:lvlText w:val="%8."/>
      <w:lvlJc w:val="left"/>
      <w:pPr>
        <w:ind w:left="5940" w:hanging="360"/>
      </w:pPr>
    </w:lvl>
    <w:lvl w:ilvl="8" w:tentative="0">
      <w:start w:val="1"/>
      <w:numFmt w:val="lowerRoman"/>
      <w:lvlText w:val="%9."/>
      <w:lvlJc w:val="right"/>
      <w:pPr>
        <w:ind w:left="6660" w:hanging="180"/>
      </w:pPr>
    </w:lvl>
  </w:abstractNum>
  <w:abstractNum w:abstractNumId="1">
    <w:nsid w:val="2BF10180"/>
    <w:multiLevelType w:val="multilevel"/>
    <w:tmpl w:val="2BF10180"/>
    <w:lvl w:ilvl="0" w:tentative="0">
      <w:start w:val="1"/>
      <w:numFmt w:val="decimal"/>
      <w:lvlText w:val="%1.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C4B3EF4"/>
    <w:multiLevelType w:val="multilevel"/>
    <w:tmpl w:val="3C4B3EF4"/>
    <w:lvl w:ilvl="0" w:tentative="0">
      <w:start w:val="1"/>
      <w:numFmt w:val="lowerRoman"/>
      <w:lvlText w:val="%1)"/>
      <w:lvlJc w:val="left"/>
      <w:pPr>
        <w:tabs>
          <w:tab w:val="left" w:pos="360"/>
        </w:tabs>
        <w:ind w:left="360" w:hanging="360"/>
      </w:pPr>
      <w:rPr>
        <w:rFonts w:ascii="Calibri" w:hAnsi="Calibri" w:eastAsia="Calibri" w:cs="Times New Roman"/>
      </w:rPr>
    </w:lvl>
    <w:lvl w:ilvl="1" w:tentative="0">
      <w:start w:val="1"/>
      <w:numFmt w:val="lowerLetter"/>
      <w:lvlText w:val="%2."/>
      <w:lvlJc w:val="left"/>
      <w:pPr>
        <w:tabs>
          <w:tab w:val="left" w:pos="720"/>
        </w:tabs>
        <w:ind w:left="720" w:hanging="360"/>
      </w:pPr>
    </w:lvl>
    <w:lvl w:ilvl="2" w:tentative="0">
      <w:start w:val="1"/>
      <w:numFmt w:val="lowerRoman"/>
      <w:lvlText w:val="%3."/>
      <w:lvlJc w:val="right"/>
      <w:pPr>
        <w:tabs>
          <w:tab w:val="left" w:pos="1440"/>
        </w:tabs>
        <w:ind w:left="1440" w:hanging="180"/>
      </w:pPr>
    </w:lvl>
    <w:lvl w:ilvl="3" w:tentative="0">
      <w:start w:val="1"/>
      <w:numFmt w:val="decimal"/>
      <w:lvlText w:val="%4."/>
      <w:lvlJc w:val="left"/>
      <w:pPr>
        <w:tabs>
          <w:tab w:val="left" w:pos="2160"/>
        </w:tabs>
        <w:ind w:left="2160" w:hanging="360"/>
      </w:pPr>
    </w:lvl>
    <w:lvl w:ilvl="4" w:tentative="0">
      <w:start w:val="1"/>
      <w:numFmt w:val="lowerLetter"/>
      <w:lvlText w:val="%5."/>
      <w:lvlJc w:val="left"/>
      <w:pPr>
        <w:tabs>
          <w:tab w:val="left" w:pos="2880"/>
        </w:tabs>
        <w:ind w:left="2880" w:hanging="360"/>
      </w:pPr>
    </w:lvl>
    <w:lvl w:ilvl="5" w:tentative="0">
      <w:start w:val="1"/>
      <w:numFmt w:val="lowerRoman"/>
      <w:lvlText w:val="%6."/>
      <w:lvlJc w:val="right"/>
      <w:pPr>
        <w:tabs>
          <w:tab w:val="left" w:pos="3600"/>
        </w:tabs>
        <w:ind w:left="3600" w:hanging="180"/>
      </w:pPr>
    </w:lvl>
    <w:lvl w:ilvl="6" w:tentative="0">
      <w:start w:val="1"/>
      <w:numFmt w:val="decimal"/>
      <w:lvlText w:val="%7."/>
      <w:lvlJc w:val="left"/>
      <w:pPr>
        <w:tabs>
          <w:tab w:val="left" w:pos="4320"/>
        </w:tabs>
        <w:ind w:left="4320" w:hanging="360"/>
      </w:pPr>
    </w:lvl>
    <w:lvl w:ilvl="7" w:tentative="0">
      <w:start w:val="1"/>
      <w:numFmt w:val="lowerLetter"/>
      <w:lvlText w:val="%8."/>
      <w:lvlJc w:val="left"/>
      <w:pPr>
        <w:tabs>
          <w:tab w:val="left" w:pos="5040"/>
        </w:tabs>
        <w:ind w:left="5040" w:hanging="360"/>
      </w:pPr>
    </w:lvl>
    <w:lvl w:ilvl="8" w:tentative="0">
      <w:start w:val="1"/>
      <w:numFmt w:val="lowerRoman"/>
      <w:lvlText w:val="%9."/>
      <w:lvlJc w:val="right"/>
      <w:pPr>
        <w:tabs>
          <w:tab w:val="left" w:pos="5760"/>
        </w:tabs>
        <w:ind w:left="5760" w:hanging="180"/>
      </w:pPr>
    </w:lvl>
  </w:abstractNum>
  <w:abstractNum w:abstractNumId="3">
    <w:nsid w:val="4DF6127F"/>
    <w:multiLevelType w:val="multilevel"/>
    <w:tmpl w:val="4DF6127F"/>
    <w:lvl w:ilvl="0" w:tentative="0">
      <w:start w:val="1"/>
      <w:numFmt w:val="lowerLetter"/>
      <w:lvlText w:val="%1)"/>
      <w:lvlJc w:val="left"/>
      <w:pPr>
        <w:ind w:left="720" w:hanging="360"/>
      </w:pPr>
      <w:rPr>
        <w:b w:val="0"/>
        <w:bCs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1932CAE"/>
    <w:multiLevelType w:val="multilevel"/>
    <w:tmpl w:val="51932CAE"/>
    <w:lvl w:ilvl="0" w:tentative="0">
      <w:start w:val="1"/>
      <w:numFmt w:val="lowerLetter"/>
      <w:lvlText w:val="%1)"/>
      <w:lvlJc w:val="left"/>
      <w:pPr>
        <w:ind w:left="720" w:hanging="360"/>
      </w:pPr>
      <w:rPr>
        <w:b w:val="0"/>
        <w:bCs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19B458F"/>
    <w:multiLevelType w:val="multilevel"/>
    <w:tmpl w:val="619B458F"/>
    <w:lvl w:ilvl="0" w:tentative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F3A28CB"/>
    <w:multiLevelType w:val="multilevel"/>
    <w:tmpl w:val="7F3A28CB"/>
    <w:lvl w:ilvl="0" w:tentative="0">
      <w:start w:val="1"/>
      <w:numFmt w:val="lowerRoman"/>
      <w:lvlText w:val="%1."/>
      <w:lvlJc w:val="right"/>
      <w:pPr>
        <w:ind w:left="720" w:hanging="360"/>
      </w:pPr>
      <w:rPr>
        <w:b w:val="0"/>
        <w:bCs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F827754"/>
    <w:multiLevelType w:val="multilevel"/>
    <w:tmpl w:val="7F827754"/>
    <w:lvl w:ilvl="0" w:tentative="0">
      <w:start w:val="1"/>
      <w:numFmt w:val="lowerRoman"/>
      <w:lvlText w:val="%1)"/>
      <w:lvlJc w:val="left"/>
      <w:pPr>
        <w:ind w:left="720" w:hanging="360"/>
      </w:pPr>
      <w:rPr>
        <w:rFonts w:ascii="Calibri" w:hAnsi="Calibri" w:eastAsia="Calibri" w:cs="Times New Roman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2"/>
  </w:num>
  <w:num w:numId="3">
    <w:abstractNumId w:val="3"/>
  </w:num>
  <w:num w:numId="4">
    <w:abstractNumId w:val="6"/>
  </w:num>
  <w:num w:numId="5">
    <w:abstractNumId w:val="4"/>
  </w:num>
  <w:num w:numId="6">
    <w:abstractNumId w:val="7"/>
  </w:num>
  <w:num w:numId="7">
    <w:abstractNumId w:val="0"/>
  </w:num>
  <w:num w:numId="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4EC9"/>
    <w:rsid w:val="00000CFC"/>
    <w:rsid w:val="00012083"/>
    <w:rsid w:val="00013448"/>
    <w:rsid w:val="00014EE0"/>
    <w:rsid w:val="000364E8"/>
    <w:rsid w:val="00041C5F"/>
    <w:rsid w:val="000506AE"/>
    <w:rsid w:val="00070772"/>
    <w:rsid w:val="00075913"/>
    <w:rsid w:val="000818E7"/>
    <w:rsid w:val="00085D33"/>
    <w:rsid w:val="00086743"/>
    <w:rsid w:val="00092895"/>
    <w:rsid w:val="00096228"/>
    <w:rsid w:val="00097428"/>
    <w:rsid w:val="000A3ED8"/>
    <w:rsid w:val="000A4F6A"/>
    <w:rsid w:val="000B0EEB"/>
    <w:rsid w:val="000E020B"/>
    <w:rsid w:val="000F07A4"/>
    <w:rsid w:val="00112910"/>
    <w:rsid w:val="00114AEA"/>
    <w:rsid w:val="00122C4B"/>
    <w:rsid w:val="0012377A"/>
    <w:rsid w:val="001379AE"/>
    <w:rsid w:val="0015359A"/>
    <w:rsid w:val="00156C7A"/>
    <w:rsid w:val="00157F2A"/>
    <w:rsid w:val="0016737C"/>
    <w:rsid w:val="00170DD8"/>
    <w:rsid w:val="0017511E"/>
    <w:rsid w:val="00183650"/>
    <w:rsid w:val="0018437B"/>
    <w:rsid w:val="00196F04"/>
    <w:rsid w:val="001A4C8C"/>
    <w:rsid w:val="001B682D"/>
    <w:rsid w:val="001C2601"/>
    <w:rsid w:val="001C7FCA"/>
    <w:rsid w:val="001D12D2"/>
    <w:rsid w:val="001E0729"/>
    <w:rsid w:val="001E19AB"/>
    <w:rsid w:val="001E7898"/>
    <w:rsid w:val="001F28F9"/>
    <w:rsid w:val="00204927"/>
    <w:rsid w:val="00206A71"/>
    <w:rsid w:val="00222355"/>
    <w:rsid w:val="0022486B"/>
    <w:rsid w:val="00227756"/>
    <w:rsid w:val="00233F98"/>
    <w:rsid w:val="00252C87"/>
    <w:rsid w:val="00260CB2"/>
    <w:rsid w:val="00265149"/>
    <w:rsid w:val="0027771C"/>
    <w:rsid w:val="002878BA"/>
    <w:rsid w:val="002902F5"/>
    <w:rsid w:val="0029182B"/>
    <w:rsid w:val="00297698"/>
    <w:rsid w:val="002A2653"/>
    <w:rsid w:val="002C0E0E"/>
    <w:rsid w:val="002C7135"/>
    <w:rsid w:val="002D4FBB"/>
    <w:rsid w:val="002D6713"/>
    <w:rsid w:val="002E1B2B"/>
    <w:rsid w:val="002E5525"/>
    <w:rsid w:val="00312331"/>
    <w:rsid w:val="00313BD6"/>
    <w:rsid w:val="003153BE"/>
    <w:rsid w:val="0032115B"/>
    <w:rsid w:val="00324D33"/>
    <w:rsid w:val="00331EC1"/>
    <w:rsid w:val="00340781"/>
    <w:rsid w:val="003443CF"/>
    <w:rsid w:val="003617C2"/>
    <w:rsid w:val="003631CD"/>
    <w:rsid w:val="00387A31"/>
    <w:rsid w:val="00397ED5"/>
    <w:rsid w:val="003A5705"/>
    <w:rsid w:val="003C1B02"/>
    <w:rsid w:val="003E6903"/>
    <w:rsid w:val="003F5CAC"/>
    <w:rsid w:val="004072B9"/>
    <w:rsid w:val="00425F81"/>
    <w:rsid w:val="004452ED"/>
    <w:rsid w:val="004540FD"/>
    <w:rsid w:val="004605F5"/>
    <w:rsid w:val="00464BCE"/>
    <w:rsid w:val="00466F1F"/>
    <w:rsid w:val="0046720B"/>
    <w:rsid w:val="00484F3A"/>
    <w:rsid w:val="00491B35"/>
    <w:rsid w:val="004A2C68"/>
    <w:rsid w:val="004B10A4"/>
    <w:rsid w:val="004B7DEE"/>
    <w:rsid w:val="004C53C5"/>
    <w:rsid w:val="004C5752"/>
    <w:rsid w:val="004D5A7A"/>
    <w:rsid w:val="004E3082"/>
    <w:rsid w:val="004F73C3"/>
    <w:rsid w:val="00501909"/>
    <w:rsid w:val="00503AAA"/>
    <w:rsid w:val="00504733"/>
    <w:rsid w:val="00515133"/>
    <w:rsid w:val="0052418B"/>
    <w:rsid w:val="0053239F"/>
    <w:rsid w:val="00535883"/>
    <w:rsid w:val="00537957"/>
    <w:rsid w:val="00537A62"/>
    <w:rsid w:val="00543154"/>
    <w:rsid w:val="0054739D"/>
    <w:rsid w:val="00550E0F"/>
    <w:rsid w:val="00554E13"/>
    <w:rsid w:val="0056139B"/>
    <w:rsid w:val="0056204C"/>
    <w:rsid w:val="005720E1"/>
    <w:rsid w:val="0059203C"/>
    <w:rsid w:val="005949B9"/>
    <w:rsid w:val="005A6919"/>
    <w:rsid w:val="005B2FEB"/>
    <w:rsid w:val="005B7700"/>
    <w:rsid w:val="005C179F"/>
    <w:rsid w:val="005C3CB3"/>
    <w:rsid w:val="005D7C80"/>
    <w:rsid w:val="005E6D42"/>
    <w:rsid w:val="005E7225"/>
    <w:rsid w:val="005F1423"/>
    <w:rsid w:val="005F7621"/>
    <w:rsid w:val="00604CEC"/>
    <w:rsid w:val="00621D6E"/>
    <w:rsid w:val="00624454"/>
    <w:rsid w:val="00627CE6"/>
    <w:rsid w:val="00631D5E"/>
    <w:rsid w:val="006344E2"/>
    <w:rsid w:val="00641564"/>
    <w:rsid w:val="00643A39"/>
    <w:rsid w:val="0064716F"/>
    <w:rsid w:val="00655601"/>
    <w:rsid w:val="006858F7"/>
    <w:rsid w:val="00692FBB"/>
    <w:rsid w:val="00694DDC"/>
    <w:rsid w:val="006961D9"/>
    <w:rsid w:val="006B2214"/>
    <w:rsid w:val="006E28D7"/>
    <w:rsid w:val="006E4722"/>
    <w:rsid w:val="006E78AD"/>
    <w:rsid w:val="006F058D"/>
    <w:rsid w:val="006F1A1F"/>
    <w:rsid w:val="006F62B7"/>
    <w:rsid w:val="00700200"/>
    <w:rsid w:val="00720242"/>
    <w:rsid w:val="007245A2"/>
    <w:rsid w:val="00731A3B"/>
    <w:rsid w:val="00741692"/>
    <w:rsid w:val="00753A25"/>
    <w:rsid w:val="007665C3"/>
    <w:rsid w:val="00771113"/>
    <w:rsid w:val="0077248D"/>
    <w:rsid w:val="00797F2D"/>
    <w:rsid w:val="007A101B"/>
    <w:rsid w:val="007B1C68"/>
    <w:rsid w:val="007B2539"/>
    <w:rsid w:val="007B2986"/>
    <w:rsid w:val="007B71DF"/>
    <w:rsid w:val="007C1337"/>
    <w:rsid w:val="007D0EFC"/>
    <w:rsid w:val="007D2B3B"/>
    <w:rsid w:val="007D7D09"/>
    <w:rsid w:val="007E3910"/>
    <w:rsid w:val="007F0884"/>
    <w:rsid w:val="007F79C1"/>
    <w:rsid w:val="00804E85"/>
    <w:rsid w:val="00831632"/>
    <w:rsid w:val="008366B7"/>
    <w:rsid w:val="00837084"/>
    <w:rsid w:val="00854069"/>
    <w:rsid w:val="00870763"/>
    <w:rsid w:val="00874719"/>
    <w:rsid w:val="008A0B06"/>
    <w:rsid w:val="008A0D83"/>
    <w:rsid w:val="008B0DDB"/>
    <w:rsid w:val="008C466A"/>
    <w:rsid w:val="008E0B46"/>
    <w:rsid w:val="008F3DBF"/>
    <w:rsid w:val="009100AE"/>
    <w:rsid w:val="00913D63"/>
    <w:rsid w:val="0092287E"/>
    <w:rsid w:val="00933834"/>
    <w:rsid w:val="00942BFE"/>
    <w:rsid w:val="009505C9"/>
    <w:rsid w:val="009508F0"/>
    <w:rsid w:val="00964D3B"/>
    <w:rsid w:val="009910F8"/>
    <w:rsid w:val="0099252A"/>
    <w:rsid w:val="009A276A"/>
    <w:rsid w:val="009B2799"/>
    <w:rsid w:val="009B43C0"/>
    <w:rsid w:val="009D69B1"/>
    <w:rsid w:val="009D7B4B"/>
    <w:rsid w:val="009E28C0"/>
    <w:rsid w:val="009F100F"/>
    <w:rsid w:val="009F5F24"/>
    <w:rsid w:val="00A22DE1"/>
    <w:rsid w:val="00A254B4"/>
    <w:rsid w:val="00A460F4"/>
    <w:rsid w:val="00A5394B"/>
    <w:rsid w:val="00A64363"/>
    <w:rsid w:val="00A7177E"/>
    <w:rsid w:val="00A76778"/>
    <w:rsid w:val="00A77C2C"/>
    <w:rsid w:val="00A9525A"/>
    <w:rsid w:val="00AA15C7"/>
    <w:rsid w:val="00AC2DBE"/>
    <w:rsid w:val="00AD1CCC"/>
    <w:rsid w:val="00B130E3"/>
    <w:rsid w:val="00B139E7"/>
    <w:rsid w:val="00B260F0"/>
    <w:rsid w:val="00B4743C"/>
    <w:rsid w:val="00B52FE9"/>
    <w:rsid w:val="00B55649"/>
    <w:rsid w:val="00B60021"/>
    <w:rsid w:val="00BA137C"/>
    <w:rsid w:val="00BA2C89"/>
    <w:rsid w:val="00BA3161"/>
    <w:rsid w:val="00BA3FDB"/>
    <w:rsid w:val="00BA6D58"/>
    <w:rsid w:val="00BB07E0"/>
    <w:rsid w:val="00BB4D6A"/>
    <w:rsid w:val="00BB51A7"/>
    <w:rsid w:val="00BB63B0"/>
    <w:rsid w:val="00BC6E16"/>
    <w:rsid w:val="00BD4A1D"/>
    <w:rsid w:val="00BD547E"/>
    <w:rsid w:val="00BE217E"/>
    <w:rsid w:val="00C042D0"/>
    <w:rsid w:val="00C108E2"/>
    <w:rsid w:val="00C2362C"/>
    <w:rsid w:val="00C25CD4"/>
    <w:rsid w:val="00C276B4"/>
    <w:rsid w:val="00C4463B"/>
    <w:rsid w:val="00C54DF3"/>
    <w:rsid w:val="00C64F0B"/>
    <w:rsid w:val="00C67312"/>
    <w:rsid w:val="00C67390"/>
    <w:rsid w:val="00C72F5D"/>
    <w:rsid w:val="00C735C3"/>
    <w:rsid w:val="00C8760D"/>
    <w:rsid w:val="00CD1453"/>
    <w:rsid w:val="00CE1964"/>
    <w:rsid w:val="00CE7AF8"/>
    <w:rsid w:val="00CF4B87"/>
    <w:rsid w:val="00CF7BD1"/>
    <w:rsid w:val="00D0071E"/>
    <w:rsid w:val="00D44AE3"/>
    <w:rsid w:val="00D45264"/>
    <w:rsid w:val="00D5381B"/>
    <w:rsid w:val="00D90235"/>
    <w:rsid w:val="00D95359"/>
    <w:rsid w:val="00DC1EA5"/>
    <w:rsid w:val="00DD705C"/>
    <w:rsid w:val="00DF048B"/>
    <w:rsid w:val="00DF3098"/>
    <w:rsid w:val="00DF5BED"/>
    <w:rsid w:val="00DF627D"/>
    <w:rsid w:val="00E00355"/>
    <w:rsid w:val="00E00429"/>
    <w:rsid w:val="00E30634"/>
    <w:rsid w:val="00E4004D"/>
    <w:rsid w:val="00E53892"/>
    <w:rsid w:val="00E61DF1"/>
    <w:rsid w:val="00E62025"/>
    <w:rsid w:val="00E74DCA"/>
    <w:rsid w:val="00E87516"/>
    <w:rsid w:val="00E97AAC"/>
    <w:rsid w:val="00EA0B63"/>
    <w:rsid w:val="00EA11E9"/>
    <w:rsid w:val="00EB1F2F"/>
    <w:rsid w:val="00EB3401"/>
    <w:rsid w:val="00EB4366"/>
    <w:rsid w:val="00EC1318"/>
    <w:rsid w:val="00EC522D"/>
    <w:rsid w:val="00EE2EEA"/>
    <w:rsid w:val="00EF5AB4"/>
    <w:rsid w:val="00EF5FF1"/>
    <w:rsid w:val="00F10857"/>
    <w:rsid w:val="00F10CD1"/>
    <w:rsid w:val="00F175F3"/>
    <w:rsid w:val="00F20DF7"/>
    <w:rsid w:val="00F273D0"/>
    <w:rsid w:val="00F32E03"/>
    <w:rsid w:val="00F34A25"/>
    <w:rsid w:val="00F42B4B"/>
    <w:rsid w:val="00F451DC"/>
    <w:rsid w:val="00F627BB"/>
    <w:rsid w:val="00F660BB"/>
    <w:rsid w:val="00F674BC"/>
    <w:rsid w:val="00F70065"/>
    <w:rsid w:val="00F71511"/>
    <w:rsid w:val="00F74E0E"/>
    <w:rsid w:val="00F75447"/>
    <w:rsid w:val="00F841F4"/>
    <w:rsid w:val="00F93924"/>
    <w:rsid w:val="00F973A5"/>
    <w:rsid w:val="00FA0F57"/>
    <w:rsid w:val="00FB1699"/>
    <w:rsid w:val="00FB2208"/>
    <w:rsid w:val="00FC3797"/>
    <w:rsid w:val="00FC71E0"/>
    <w:rsid w:val="00FE4EC9"/>
    <w:rsid w:val="380923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qFormat="1" w:unhideWhenUsed="0" w:uiPriority="0" w:semiHidden="0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qFormat="1"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qFormat="1" w:unhideWhenUsed="0" w:uiPriority="0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qFormat="1" w:unhideWhenUsed="0" w:uiPriority="99" w:name="Placeholder Text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paragraph" w:styleId="2">
    <w:name w:val="heading 1"/>
    <w:basedOn w:val="1"/>
    <w:next w:val="1"/>
    <w:link w:val="17"/>
    <w:qFormat/>
    <w:uiPriority w:val="9"/>
    <w:pPr>
      <w:keepNext/>
      <w:keepLines/>
      <w:spacing w:before="240" w:after="0"/>
      <w:outlineLvl w:val="0"/>
    </w:pPr>
    <w:rPr>
      <w:rFonts w:asciiTheme="majorHAnsi" w:hAnsiTheme="majorHAnsi" w:eastAsiaTheme="majorEastAsia" w:cstheme="majorBidi"/>
      <w:color w:val="2E75B6" w:themeColor="accent1" w:themeShade="BF"/>
      <w:sz w:val="32"/>
      <w:szCs w:val="32"/>
    </w:rPr>
  </w:style>
  <w:style w:type="paragraph" w:styleId="3">
    <w:name w:val="heading 2"/>
    <w:basedOn w:val="1"/>
    <w:next w:val="1"/>
    <w:link w:val="19"/>
    <w:semiHidden/>
    <w:unhideWhenUsed/>
    <w:qFormat/>
    <w:uiPriority w:val="9"/>
    <w:pPr>
      <w:keepNext/>
      <w:keepLines/>
      <w:spacing w:before="40" w:after="0"/>
      <w:outlineLvl w:val="1"/>
    </w:pPr>
    <w:rPr>
      <w:rFonts w:asciiTheme="majorHAnsi" w:hAnsiTheme="majorHAnsi" w:eastAsiaTheme="majorEastAsia" w:cstheme="majorBidi"/>
      <w:color w:val="2E75B6" w:themeColor="accent1" w:themeShade="BF"/>
      <w:sz w:val="26"/>
      <w:szCs w:val="26"/>
    </w:rPr>
  </w:style>
  <w:style w:type="paragraph" w:styleId="4">
    <w:name w:val="heading 3"/>
    <w:basedOn w:val="1"/>
    <w:next w:val="1"/>
    <w:link w:val="15"/>
    <w:semiHidden/>
    <w:unhideWhenUsed/>
    <w:qFormat/>
    <w:uiPriority w:val="9"/>
    <w:pPr>
      <w:keepNext/>
      <w:spacing w:before="240" w:after="60" w:line="276" w:lineRule="auto"/>
      <w:outlineLvl w:val="2"/>
    </w:pPr>
    <w:rPr>
      <w:rFonts w:ascii="Cambria" w:hAnsi="Cambria" w:eastAsia="Times New Roman" w:cs="Times New Roman"/>
      <w:b/>
      <w:bCs/>
      <w:sz w:val="26"/>
      <w:szCs w:val="26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7">
    <w:name w:val="Body Text"/>
    <w:basedOn w:val="1"/>
    <w:link w:val="20"/>
    <w:qFormat/>
    <w:uiPriority w:val="0"/>
    <w:pPr>
      <w:spacing w:after="120" w:line="240" w:lineRule="auto"/>
    </w:pPr>
    <w:rPr>
      <w:rFonts w:ascii="Times New Roman" w:hAnsi="Times New Roman" w:eastAsia="Times New Roman" w:cs="Times New Roman"/>
      <w:sz w:val="24"/>
      <w:szCs w:val="24"/>
    </w:rPr>
  </w:style>
  <w:style w:type="paragraph" w:styleId="8">
    <w:name w:val="Body Text Indent"/>
    <w:basedOn w:val="1"/>
    <w:link w:val="21"/>
    <w:semiHidden/>
    <w:unhideWhenUsed/>
    <w:qFormat/>
    <w:uiPriority w:val="99"/>
    <w:pPr>
      <w:spacing w:after="120"/>
      <w:ind w:left="283"/>
    </w:pPr>
  </w:style>
  <w:style w:type="paragraph" w:styleId="9">
    <w:name w:val="Body Text First Indent 2"/>
    <w:basedOn w:val="8"/>
    <w:link w:val="22"/>
    <w:qFormat/>
    <w:uiPriority w:val="0"/>
    <w:pPr>
      <w:spacing w:line="240" w:lineRule="auto"/>
      <w:ind w:left="360" w:firstLine="210"/>
    </w:pPr>
    <w:rPr>
      <w:rFonts w:ascii="Times New Roman" w:hAnsi="Times New Roman" w:eastAsia="Times New Roman" w:cs="Times New Roman"/>
      <w:sz w:val="24"/>
      <w:szCs w:val="24"/>
    </w:rPr>
  </w:style>
  <w:style w:type="paragraph" w:styleId="10">
    <w:name w:val="List"/>
    <w:basedOn w:val="1"/>
    <w:qFormat/>
    <w:uiPriority w:val="0"/>
    <w:pPr>
      <w:spacing w:after="0" w:line="240" w:lineRule="auto"/>
      <w:ind w:left="360" w:hanging="360"/>
    </w:pPr>
    <w:rPr>
      <w:rFonts w:ascii="Times New Roman" w:hAnsi="Times New Roman" w:eastAsia="Times New Roman" w:cs="Times New Roman"/>
      <w:sz w:val="24"/>
      <w:szCs w:val="24"/>
    </w:rPr>
  </w:style>
  <w:style w:type="paragraph" w:styleId="11">
    <w:name w:val="Normal (Web)"/>
    <w:basedOn w:val="1"/>
    <w:qFormat/>
    <w:uiPriority w:val="0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</w:rPr>
  </w:style>
  <w:style w:type="table" w:styleId="12">
    <w:name w:val="Table Grid"/>
    <w:basedOn w:val="6"/>
    <w:qFormat/>
    <w:uiPriority w:val="3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13">
    <w:name w:val="Title"/>
    <w:basedOn w:val="1"/>
    <w:link w:val="16"/>
    <w:qFormat/>
    <w:uiPriority w:val="0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hAnsi="Bookman Old Style" w:eastAsia="Times New Roman" w:cs="Times New Roman"/>
      <w:b/>
      <w:bCs/>
      <w:color w:val="000000"/>
      <w:spacing w:val="-15"/>
      <w:sz w:val="33"/>
      <w:szCs w:val="33"/>
    </w:rPr>
  </w:style>
  <w:style w:type="paragraph" w:styleId="14">
    <w:name w:val="List Paragraph"/>
    <w:basedOn w:val="1"/>
    <w:qFormat/>
    <w:uiPriority w:val="34"/>
    <w:pPr>
      <w:ind w:left="720"/>
      <w:contextualSpacing/>
    </w:pPr>
  </w:style>
  <w:style w:type="character" w:customStyle="1" w:styleId="15">
    <w:name w:val="Heading 3 Char"/>
    <w:basedOn w:val="5"/>
    <w:link w:val="4"/>
    <w:semiHidden/>
    <w:qFormat/>
    <w:uiPriority w:val="9"/>
    <w:rPr>
      <w:rFonts w:ascii="Cambria" w:hAnsi="Cambria" w:eastAsia="Times New Roman" w:cs="Times New Roman"/>
      <w:b/>
      <w:bCs/>
      <w:sz w:val="26"/>
      <w:szCs w:val="26"/>
    </w:rPr>
  </w:style>
  <w:style w:type="character" w:customStyle="1" w:styleId="16">
    <w:name w:val="Title Char"/>
    <w:basedOn w:val="5"/>
    <w:link w:val="13"/>
    <w:qFormat/>
    <w:uiPriority w:val="0"/>
    <w:rPr>
      <w:rFonts w:ascii="Bookman Old Style" w:hAnsi="Bookman Old Style" w:eastAsia="Times New Roman" w:cs="Times New Roman"/>
      <w:b/>
      <w:bCs/>
      <w:color w:val="000000"/>
      <w:spacing w:val="-15"/>
      <w:sz w:val="33"/>
      <w:szCs w:val="33"/>
    </w:rPr>
  </w:style>
  <w:style w:type="character" w:customStyle="1" w:styleId="17">
    <w:name w:val="Heading 1 Char"/>
    <w:basedOn w:val="5"/>
    <w:link w:val="2"/>
    <w:qFormat/>
    <w:uiPriority w:val="9"/>
    <w:rPr>
      <w:rFonts w:asciiTheme="majorHAnsi" w:hAnsiTheme="majorHAnsi" w:eastAsiaTheme="majorEastAsia" w:cstheme="majorBidi"/>
      <w:color w:val="2E75B6" w:themeColor="accent1" w:themeShade="BF"/>
      <w:sz w:val="32"/>
      <w:szCs w:val="32"/>
    </w:rPr>
  </w:style>
  <w:style w:type="paragraph" w:customStyle="1" w:styleId="18">
    <w:name w:val="Default"/>
    <w:qFormat/>
    <w:uiPriority w:val="0"/>
    <w:pPr>
      <w:autoSpaceDE w:val="0"/>
      <w:autoSpaceDN w:val="0"/>
      <w:adjustRightInd w:val="0"/>
      <w:spacing w:after="0" w:line="240" w:lineRule="auto"/>
    </w:pPr>
    <w:rPr>
      <w:rFonts w:ascii="Verdana" w:hAnsi="Verdana" w:cs="Verdana" w:eastAsiaTheme="minorHAnsi"/>
      <w:color w:val="000000"/>
      <w:sz w:val="24"/>
      <w:szCs w:val="24"/>
      <w:lang w:val="en-US" w:eastAsia="en-US" w:bidi="ar-SA"/>
    </w:rPr>
  </w:style>
  <w:style w:type="character" w:customStyle="1" w:styleId="19">
    <w:name w:val="Heading 2 Char"/>
    <w:basedOn w:val="5"/>
    <w:link w:val="3"/>
    <w:semiHidden/>
    <w:qFormat/>
    <w:uiPriority w:val="9"/>
    <w:rPr>
      <w:rFonts w:asciiTheme="majorHAnsi" w:hAnsiTheme="majorHAnsi" w:eastAsiaTheme="majorEastAsia" w:cstheme="majorBidi"/>
      <w:color w:val="2E75B6" w:themeColor="accent1" w:themeShade="BF"/>
      <w:sz w:val="26"/>
      <w:szCs w:val="26"/>
    </w:rPr>
  </w:style>
  <w:style w:type="character" w:customStyle="1" w:styleId="20">
    <w:name w:val="Body Text Char"/>
    <w:basedOn w:val="5"/>
    <w:link w:val="7"/>
    <w:qFormat/>
    <w:uiPriority w:val="0"/>
    <w:rPr>
      <w:rFonts w:ascii="Times New Roman" w:hAnsi="Times New Roman" w:eastAsia="Times New Roman" w:cs="Times New Roman"/>
      <w:sz w:val="24"/>
      <w:szCs w:val="24"/>
    </w:rPr>
  </w:style>
  <w:style w:type="character" w:customStyle="1" w:styleId="21">
    <w:name w:val="Body Text Indent Char"/>
    <w:basedOn w:val="5"/>
    <w:link w:val="8"/>
    <w:semiHidden/>
    <w:qFormat/>
    <w:uiPriority w:val="99"/>
  </w:style>
  <w:style w:type="character" w:customStyle="1" w:styleId="22">
    <w:name w:val="Body Text First Indent 2 Char"/>
    <w:basedOn w:val="21"/>
    <w:link w:val="9"/>
    <w:qFormat/>
    <w:uiPriority w:val="0"/>
    <w:rPr>
      <w:rFonts w:ascii="Times New Roman" w:hAnsi="Times New Roman" w:eastAsia="Times New Roman" w:cs="Times New Roman"/>
      <w:sz w:val="24"/>
      <w:szCs w:val="24"/>
    </w:rPr>
  </w:style>
  <w:style w:type="paragraph" w:customStyle="1" w:styleId="23">
    <w:name w:val="Outline I"/>
    <w:basedOn w:val="1"/>
    <w:qFormat/>
    <w:uiPriority w:val="0"/>
    <w:pPr>
      <w:tabs>
        <w:tab w:val="decimal" w:pos="435"/>
        <w:tab w:val="left" w:pos="720"/>
        <w:tab w:val="left" w:pos="1080"/>
        <w:tab w:val="left" w:pos="1440"/>
        <w:tab w:val="decimal" w:pos="4140"/>
      </w:tabs>
      <w:spacing w:after="80" w:line="240" w:lineRule="auto"/>
      <w:ind w:left="720" w:hanging="720"/>
    </w:pPr>
    <w:rPr>
      <w:rFonts w:ascii="Times New Roman" w:hAnsi="Times New Roman" w:eastAsia="Times New Roman" w:cs="Times New Roman"/>
      <w:b/>
      <w:sz w:val="28"/>
      <w:szCs w:val="28"/>
    </w:rPr>
  </w:style>
  <w:style w:type="character" w:styleId="24">
    <w:name w:val="Placeholder Text"/>
    <w:basedOn w:val="5"/>
    <w:semiHidden/>
    <w:qFormat/>
    <w:uiPriority w:val="99"/>
    <w:rPr>
      <w:color w:val="808080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915</Words>
  <Characters>4890</Characters>
  <Lines>46</Lines>
  <Paragraphs>12</Paragraphs>
  <TotalTime>8</TotalTime>
  <ScaleCrop>false</ScaleCrop>
  <LinksUpToDate>false</LinksUpToDate>
  <CharactersWithSpaces>6117</CharactersWithSpaces>
  <Application>WPS Office_12.1.0.25242_F1E327BC-269C-435d-A152-05C5408002CA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2026-03-12T11:07:00Z</dcterms:created>
  <dc:creator>Windows User</dc:creator>
  <cp:lastModifiedBy>hochieng</cp:lastModifiedBy>
  <dcterms:modified xsi:type="dcterms:W3CDTF">2026-04-14T11:17:49Z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eyJoZGlkIjoiZGM5NmZkODYyNDc1ZDUxNWM5ZjNhZjhjZWYxZDhkODYifQ==</vt:lpwstr>
  </property>
  <property fmtid="{D5CDD505-2E9C-101B-9397-08002B2CF9AE}" pid="3" name="KSOProductBuildVer">
    <vt:lpwstr>1033-12.1.0.25242</vt:lpwstr>
  </property>
  <property fmtid="{D5CDD505-2E9C-101B-9397-08002B2CF9AE}" pid="4" name="ICV">
    <vt:lpwstr>55F2B5F8E6FA4563BDAA3926897247BF_12</vt:lpwstr>
  </property>
</Properties>
</file>