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AFECA">
      <w:pPr>
        <w:pStyle w:val="7"/>
        <w:ind w:left="720"/>
        <w:jc w:val="center"/>
        <w:rPr>
          <w:rFonts w:ascii="Arial Narrow" w:hAnsi="Arial Narrow"/>
          <w:b/>
          <w:color w:val="000000" w:themeColor="text1"/>
          <w:lang w:val="en-GB"/>
          <w14:textFill>
            <w14:solidFill>
              <w14:schemeClr w14:val="tx1"/>
            </w14:solidFill>
          </w14:textFill>
        </w:rPr>
      </w:pPr>
    </w:p>
    <w:p w14:paraId="111D4814">
      <w:pPr>
        <w:pStyle w:val="7"/>
        <w:ind w:left="720"/>
        <w:jc w:val="center"/>
        <w:rPr>
          <w:b/>
          <w:color w:val="000000" w:themeColor="text1"/>
          <w:lang w:val="en-GB"/>
          <w14:textFill>
            <w14:solidFill>
              <w14:schemeClr w14:val="tx1"/>
            </w14:solidFill>
          </w14:textFill>
        </w:rPr>
      </w:pPr>
    </w:p>
    <w:p w14:paraId="2B62DFB0">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drawing>
          <wp:inline distT="0" distB="0" distL="0" distR="0">
            <wp:extent cx="1401445" cy="926465"/>
            <wp:effectExtent l="0" t="0" r="8255" b="6985"/>
            <wp:docPr id="130" name="Picture 130"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1445" cy="926465"/>
                    </a:xfrm>
                    <a:prstGeom prst="rect">
                      <a:avLst/>
                    </a:prstGeom>
                    <a:noFill/>
                    <a:ln>
                      <a:noFill/>
                    </a:ln>
                  </pic:spPr>
                </pic:pic>
              </a:graphicData>
            </a:graphic>
          </wp:inline>
        </w:drawing>
      </w:r>
    </w:p>
    <w:p w14:paraId="0B2C342A">
      <w:pPr>
        <w:jc w:val="center"/>
        <w:rPr>
          <w:rFonts w:ascii="Times New Roman" w:hAnsi="Times New Roman"/>
          <w:b/>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UNIVERSITY EXAMINATIONS</w:t>
      </w:r>
    </w:p>
    <w:p w14:paraId="39D9DED7">
      <w:pPr>
        <w:jc w:val="center"/>
        <w:rPr>
          <w:rFonts w:ascii="Times New Roman" w:hAnsi="Times New Roman"/>
          <w:b/>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 xml:space="preserve">EXAMINATION FOR JANAURY /APRIL 2025/2026 FOR MASTERS OF SCIENCE IN DATA SCIENCE AND COMPUTATIONAL INTELLIGNECE </w:t>
      </w:r>
    </w:p>
    <w:p w14:paraId="76469EB1">
      <w:pPr>
        <w:jc w:val="center"/>
        <w:rPr>
          <w:rFonts w:ascii="Times New Roman" w:hAnsi="Times New Roman"/>
          <w:b/>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MRDC 9213: CRITICAL ANALYSIS FOR DATA SCIENCE</w:t>
      </w:r>
    </w:p>
    <w:p w14:paraId="0E42DC2C">
      <w:pPr>
        <w:jc w:val="center"/>
        <w:rPr>
          <w:rFonts w:ascii="Times New Roman" w:hAnsi="Times New Roman"/>
          <w:b/>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DATE</w:t>
      </w:r>
      <w:r>
        <w:rPr>
          <w:rFonts w:hint="default" w:ascii="Times New Roman" w:hAnsi="Times New Roman"/>
          <w:b/>
          <w:color w:val="000000" w:themeColor="text1"/>
          <w:lang w:val="en-US"/>
          <w14:textFill>
            <w14:solidFill>
              <w14:schemeClr w14:val="tx1"/>
            </w14:solidFill>
          </w14:textFill>
        </w:rPr>
        <w:t>: 9</w:t>
      </w:r>
      <w:r>
        <w:rPr>
          <w:rFonts w:hint="default" w:ascii="Times New Roman" w:hAnsi="Times New Roman"/>
          <w:b/>
          <w:color w:val="000000" w:themeColor="text1"/>
          <w:vertAlign w:val="superscript"/>
          <w:lang w:val="en-US"/>
          <w14:textFill>
            <w14:solidFill>
              <w14:schemeClr w14:val="tx1"/>
            </w14:solidFill>
          </w14:textFill>
        </w:rPr>
        <w:t>TH</w:t>
      </w:r>
      <w:r>
        <w:rPr>
          <w:rFonts w:hint="default" w:ascii="Times New Roman" w:hAnsi="Times New Roman"/>
          <w:b/>
          <w:color w:val="000000" w:themeColor="text1"/>
          <w:lang w:val="en-US"/>
          <w14:textFill>
            <w14:solidFill>
              <w14:schemeClr w14:val="tx1"/>
            </w14:solidFill>
          </w14:textFill>
        </w:rPr>
        <w:t xml:space="preserve"> APRIL 2026</w:t>
      </w:r>
      <w:r>
        <w:rPr>
          <w:rFonts w:hint="default" w:ascii="Times New Roman" w:hAnsi="Times New Roman"/>
          <w:b/>
          <w:color w:val="000000" w:themeColor="text1"/>
          <w:lang w:val="en-US"/>
          <w14:textFill>
            <w14:solidFill>
              <w14:schemeClr w14:val="tx1"/>
            </w14:solidFill>
          </w14:textFill>
        </w:rPr>
        <w:tab/>
        <w:t/>
      </w:r>
      <w:r>
        <w:rPr>
          <w:rFonts w:hint="default" w:ascii="Times New Roman" w:hAnsi="Times New Roman"/>
          <w:b/>
          <w:color w:val="000000" w:themeColor="text1"/>
          <w:lang w:val="en-US"/>
          <w14:textFill>
            <w14:solidFill>
              <w14:schemeClr w14:val="tx1"/>
            </w14:solidFill>
          </w14:textFill>
        </w:rPr>
        <w:tab/>
        <w:t/>
      </w:r>
      <w:r>
        <w:rPr>
          <w:rFonts w:hint="default" w:ascii="Times New Roman" w:hAnsi="Times New Roman"/>
          <w:b/>
          <w:color w:val="000000" w:themeColor="text1"/>
          <w:lang w:val="en-US"/>
          <w14:textFill>
            <w14:solidFill>
              <w14:schemeClr w14:val="tx1"/>
            </w14:solidFill>
          </w14:textFill>
        </w:rPr>
        <w:tab/>
        <w:t/>
      </w:r>
      <w:r>
        <w:rPr>
          <w:rFonts w:hint="default" w:ascii="Times New Roman" w:hAnsi="Times New Roman"/>
          <w:b/>
          <w:color w:val="000000" w:themeColor="text1"/>
          <w:lang w:val="en-US"/>
          <w14:textFill>
            <w14:solidFill>
              <w14:schemeClr w14:val="tx1"/>
            </w14:solidFill>
          </w14:textFill>
        </w:rPr>
        <w:tab/>
        <w:t/>
      </w:r>
      <w:r>
        <w:rPr>
          <w:rFonts w:hint="default" w:ascii="Times New Roman" w:hAnsi="Times New Roman"/>
          <w:b/>
          <w:color w:val="000000" w:themeColor="text1"/>
          <w:lang w:val="en-US"/>
          <w14:textFill>
            <w14:solidFill>
              <w14:schemeClr w14:val="tx1"/>
            </w14:solidFill>
          </w14:textFill>
        </w:rPr>
        <w:tab/>
        <w:t/>
      </w:r>
      <w:r>
        <w:rPr>
          <w:rFonts w:hint="default" w:ascii="Times New Roman" w:hAnsi="Times New Roman"/>
          <w:b/>
          <w:color w:val="000000" w:themeColor="text1"/>
          <w:lang w:val="en-US"/>
          <w14:textFill>
            <w14:solidFill>
              <w14:schemeClr w14:val="tx1"/>
            </w14:solidFill>
          </w14:textFill>
        </w:rPr>
        <w:tab/>
      </w:r>
      <w:r>
        <w:rPr>
          <w:rFonts w:ascii="Times New Roman" w:hAnsi="Times New Roman"/>
          <w:b/>
          <w:color w:val="000000" w:themeColor="text1"/>
          <w14:textFill>
            <w14:solidFill>
              <w14:schemeClr w14:val="tx1"/>
            </w14:solidFill>
          </w14:textFill>
        </w:rPr>
        <w:tab/>
      </w:r>
      <w:r>
        <w:rPr>
          <w:rFonts w:ascii="Times New Roman" w:hAnsi="Times New Roman"/>
          <w:b/>
          <w:color w:val="000000" w:themeColor="text1"/>
          <w14:textFill>
            <w14:solidFill>
              <w14:schemeClr w14:val="tx1"/>
            </w14:solidFill>
          </w14:textFill>
        </w:rPr>
        <w:t>TIME: 2 HOURS</w:t>
      </w:r>
    </w:p>
    <w:p w14:paraId="36053ECE">
      <w:pPr>
        <w:rPr>
          <w:rFonts w:ascii="Times New Roman" w:hAnsi="Times New Roman"/>
          <w:b/>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GENERAL INSTRUCTIONS:</w:t>
      </w:r>
      <w:r>
        <w:rPr>
          <w:rFonts w:ascii="Times New Roman" w:hAnsi="Times New Roman"/>
          <w:b/>
          <w:color w:val="000000" w:themeColor="text1"/>
          <w14:textFill>
            <w14:solidFill>
              <w14:schemeClr w14:val="tx1"/>
            </w14:solidFill>
          </w14:textFill>
        </w:rPr>
        <w:tab/>
      </w:r>
    </w:p>
    <w:p w14:paraId="02472EDF">
      <w:pP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Students are NOT permitted to write on the examination paper during examination time.</w:t>
      </w:r>
    </w:p>
    <w:p w14:paraId="7FDDBFCE">
      <w:pP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This is a closed book examination. Text book/Reference books/notes are not permitted. </w:t>
      </w:r>
    </w:p>
    <w:p w14:paraId="791434C6">
      <w:pPr>
        <w:rPr>
          <w:rFonts w:ascii="Times New Roman" w:hAnsi="Times New Roman"/>
          <w:color w:val="000000" w:themeColor="text1"/>
          <w14:textFill>
            <w14:solidFill>
              <w14:schemeClr w14:val="tx1"/>
            </w14:solidFill>
          </w14:textFill>
        </w:rPr>
      </w:pPr>
    </w:p>
    <w:p w14:paraId="17399947">
      <w:pPr>
        <w:rPr>
          <w:rFonts w:ascii="Times New Roman" w:hAnsi="Times New Roman"/>
          <w:b/>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SPECIAL INSTRUCTIONS:</w:t>
      </w:r>
      <w:r>
        <w:rPr>
          <w:rFonts w:ascii="Times New Roman" w:hAnsi="Times New Roman"/>
          <w:b/>
          <w:color w:val="000000" w:themeColor="text1"/>
          <w14:textFill>
            <w14:solidFill>
              <w14:schemeClr w14:val="tx1"/>
            </w14:solidFill>
          </w14:textFill>
        </w:rPr>
        <w:tab/>
      </w:r>
      <w:r>
        <w:rPr>
          <w:rFonts w:ascii="Times New Roman" w:hAnsi="Times New Roman"/>
          <w:b/>
          <w:color w:val="000000" w:themeColor="text1"/>
          <w14:textFill>
            <w14:solidFill>
              <w14:schemeClr w14:val="tx1"/>
            </w14:solidFill>
          </w14:textFill>
        </w:rPr>
        <w:t xml:space="preserve"> </w:t>
      </w:r>
    </w:p>
    <w:p w14:paraId="17B9EA53">
      <w:pP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This examination paper consists Questions in Section A followed by section B.</w:t>
      </w:r>
    </w:p>
    <w:p w14:paraId="525F281A">
      <w:pP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Answer </w:t>
      </w:r>
      <w:r>
        <w:rPr>
          <w:rFonts w:ascii="Times New Roman" w:hAnsi="Times New Roman"/>
          <w:b/>
          <w:color w:val="000000" w:themeColor="text1"/>
          <w:u w:val="single"/>
          <w14:textFill>
            <w14:solidFill>
              <w14:schemeClr w14:val="tx1"/>
            </w14:solidFill>
          </w14:textFill>
        </w:rPr>
        <w:t>Question 1 and any Other Two</w:t>
      </w:r>
      <w:r>
        <w:rPr>
          <w:rFonts w:ascii="Times New Roman" w:hAnsi="Times New Roman"/>
          <w:color w:val="000000" w:themeColor="text1"/>
          <w14:textFill>
            <w14:solidFill>
              <w14:schemeClr w14:val="tx1"/>
            </w14:solidFill>
          </w14:textFill>
        </w:rPr>
        <w:t xml:space="preserve"> questions.</w:t>
      </w:r>
    </w:p>
    <w:p w14:paraId="27923EE5">
      <w:pP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 xml:space="preserve">QUESTIONS in ALL Sections should be answered in answer booklet(s).  </w:t>
      </w:r>
    </w:p>
    <w:p w14:paraId="30839BAD">
      <w:pPr>
        <w:pStyle w:val="2"/>
        <w:keepNext/>
        <w:numPr>
          <w:ilvl w:val="0"/>
          <w:numId w:val="1"/>
        </w:numPr>
        <w:spacing w:before="0" w:beforeAutospacing="0" w:after="0" w:afterAutospacing="0"/>
        <w:rPr>
          <w:rFonts w:eastAsia="Calibri"/>
          <w:bCs w:val="0"/>
          <w:color w:val="000000" w:themeColor="text1"/>
          <w:sz w:val="22"/>
          <w:szCs w:val="22"/>
          <w14:textFill>
            <w14:solidFill>
              <w14:schemeClr w14:val="tx1"/>
            </w14:solidFill>
          </w14:textFill>
        </w:rPr>
      </w:pPr>
      <w:r>
        <w:rPr>
          <w:rFonts w:eastAsia="Calibri"/>
          <w:bCs w:val="0"/>
          <w:color w:val="000000" w:themeColor="text1"/>
          <w:sz w:val="22"/>
          <w:szCs w:val="22"/>
          <w14:textFill>
            <w14:solidFill>
              <w14:schemeClr w14:val="tx1"/>
            </w14:solidFill>
          </w14:textFill>
        </w:rPr>
        <w:t xml:space="preserve">PLEASE start the answer to EACH question on a NEW PAGE. </w:t>
      </w:r>
    </w:p>
    <w:p w14:paraId="43F81670">
      <w:pPr>
        <w:pStyle w:val="2"/>
        <w:keepNext/>
        <w:numPr>
          <w:ilvl w:val="0"/>
          <w:numId w:val="1"/>
        </w:numPr>
        <w:spacing w:before="0" w:beforeAutospacing="0" w:after="0" w:afterAutospacing="0"/>
        <w:rPr>
          <w:rFonts w:eastAsia="Calibri"/>
          <w:bCs w:val="0"/>
          <w:color w:val="000000" w:themeColor="text1"/>
          <w:sz w:val="22"/>
          <w:szCs w:val="22"/>
          <w14:textFill>
            <w14:solidFill>
              <w14:schemeClr w14:val="tx1"/>
            </w14:solidFill>
          </w14:textFill>
        </w:rPr>
      </w:pPr>
      <w:r>
        <w:rPr>
          <w:rFonts w:eastAsia="Calibri"/>
          <w:bCs w:val="0"/>
          <w:color w:val="000000" w:themeColor="text1"/>
          <w:sz w:val="22"/>
          <w:szCs w:val="22"/>
          <w14:textFill>
            <w14:solidFill>
              <w14:schemeClr w14:val="tx1"/>
            </w14:solidFill>
          </w14:textFill>
        </w:rPr>
        <w:t>Keep your phone(s) switched off at the front of the examination room.</w:t>
      </w:r>
    </w:p>
    <w:p w14:paraId="1F819152">
      <w:pPr>
        <w:pStyle w:val="2"/>
        <w:keepNext/>
        <w:numPr>
          <w:ilvl w:val="0"/>
          <w:numId w:val="1"/>
        </w:numPr>
        <w:spacing w:before="0" w:beforeAutospacing="0" w:after="0" w:afterAutospacing="0"/>
        <w:rPr>
          <w:rFonts w:eastAsia="Calibri"/>
          <w:bCs w:val="0"/>
          <w:color w:val="000000" w:themeColor="text1"/>
          <w:sz w:val="22"/>
          <w:szCs w:val="22"/>
          <w14:textFill>
            <w14:solidFill>
              <w14:schemeClr w14:val="tx1"/>
            </w14:solidFill>
          </w14:textFill>
        </w:rPr>
      </w:pPr>
      <w:r>
        <w:rPr>
          <w:rFonts w:eastAsia="Calibri"/>
          <w:bCs w:val="0"/>
          <w:color w:val="000000" w:themeColor="text1"/>
          <w:sz w:val="22"/>
          <w:szCs w:val="22"/>
          <w14:textFill>
            <w14:solidFill>
              <w14:schemeClr w14:val="tx1"/>
            </w14:solidFill>
          </w14:textFill>
        </w:rPr>
        <w:t>Keep ALL bags and caps at the front of the examination room and DO NOT refer to ANY unauthorized material before or during the course of the examination.</w:t>
      </w:r>
    </w:p>
    <w:p w14:paraId="48B0A6F8">
      <w:pPr>
        <w:pStyle w:val="2"/>
        <w:keepNext/>
        <w:numPr>
          <w:ilvl w:val="0"/>
          <w:numId w:val="1"/>
        </w:numPr>
        <w:spacing w:before="0" w:beforeAutospacing="0" w:after="0" w:afterAutospacing="0"/>
        <w:rPr>
          <w:rFonts w:eastAsia="Calibri"/>
          <w:bCs w:val="0"/>
          <w:color w:val="000000" w:themeColor="text1"/>
          <w:sz w:val="22"/>
          <w:szCs w:val="22"/>
          <w14:textFill>
            <w14:solidFill>
              <w14:schemeClr w14:val="tx1"/>
            </w14:solidFill>
          </w14:textFill>
        </w:rPr>
      </w:pPr>
      <w:r>
        <w:rPr>
          <w:rFonts w:eastAsia="Calibri"/>
          <w:bCs w:val="0"/>
          <w:color w:val="000000" w:themeColor="text1"/>
          <w:sz w:val="22"/>
          <w:szCs w:val="22"/>
          <w14:textFill>
            <w14:solidFill>
              <w14:schemeClr w14:val="tx1"/>
            </w14:solidFill>
          </w14:textFill>
        </w:rPr>
        <w:t>ALWAYS show your working.</w:t>
      </w:r>
    </w:p>
    <w:p w14:paraId="3C024A11">
      <w:pPr>
        <w:pStyle w:val="2"/>
        <w:keepNext/>
        <w:numPr>
          <w:ilvl w:val="0"/>
          <w:numId w:val="1"/>
        </w:numPr>
        <w:spacing w:before="0" w:beforeAutospacing="0" w:after="0" w:afterAutospacing="0"/>
        <w:rPr>
          <w:rFonts w:eastAsia="Calibri"/>
          <w:bCs w:val="0"/>
          <w:color w:val="000000" w:themeColor="text1"/>
          <w:sz w:val="22"/>
          <w:szCs w:val="22"/>
          <w14:textFill>
            <w14:solidFill>
              <w14:schemeClr w14:val="tx1"/>
            </w14:solidFill>
          </w14:textFill>
        </w:rPr>
      </w:pPr>
      <w:r>
        <w:rPr>
          <w:rFonts w:eastAsia="Calibri"/>
          <w:bCs w:val="0"/>
          <w:color w:val="000000" w:themeColor="text1"/>
          <w:sz w:val="22"/>
          <w:szCs w:val="22"/>
          <w14:textFill>
            <w14:solidFill>
              <w14:schemeClr w14:val="tx1"/>
            </w14:solidFill>
          </w14:textFill>
        </w:rPr>
        <w:t>Marks indicated in parenthesis i.e. ( ) will be awarded for clear and logical answers.</w:t>
      </w:r>
    </w:p>
    <w:p w14:paraId="3EE03D13">
      <w:pPr>
        <w:pStyle w:val="2"/>
        <w:keepNext/>
        <w:numPr>
          <w:ilvl w:val="0"/>
          <w:numId w:val="1"/>
        </w:numPr>
        <w:spacing w:before="0" w:beforeAutospacing="0" w:after="0" w:afterAutospacing="0"/>
        <w:rPr>
          <w:rFonts w:eastAsia="Calibri"/>
          <w:bCs w:val="0"/>
          <w:color w:val="000000" w:themeColor="text1"/>
          <w:sz w:val="22"/>
          <w:szCs w:val="22"/>
          <w14:textFill>
            <w14:solidFill>
              <w14:schemeClr w14:val="tx1"/>
            </w14:solidFill>
          </w14:textFill>
        </w:rPr>
      </w:pPr>
      <w:r>
        <w:rPr>
          <w:rFonts w:eastAsia="Calibri"/>
          <w:bCs w:val="0"/>
          <w:color w:val="000000" w:themeColor="text1"/>
          <w:sz w:val="22"/>
          <w:szCs w:val="22"/>
          <w14:textFill>
            <w14:solidFill>
              <w14:schemeClr w14:val="tx1"/>
            </w14:solidFill>
          </w14:textFill>
        </w:rPr>
        <w:t>Write your REGISTRATION No. clearly on the answer booklet(s).</w:t>
      </w:r>
    </w:p>
    <w:p w14:paraId="3B93E602">
      <w:pPr>
        <w:pStyle w:val="2"/>
        <w:keepNext/>
        <w:numPr>
          <w:ilvl w:val="0"/>
          <w:numId w:val="1"/>
        </w:numPr>
        <w:spacing w:before="0" w:beforeAutospacing="0" w:after="0" w:afterAutospacing="0"/>
        <w:rPr>
          <w:rFonts w:eastAsia="Calibri"/>
          <w:bCs w:val="0"/>
          <w:color w:val="000000" w:themeColor="text1"/>
          <w:sz w:val="22"/>
          <w:szCs w:val="22"/>
          <w14:textFill>
            <w14:solidFill>
              <w14:schemeClr w14:val="tx1"/>
            </w14:solidFill>
          </w14:textFill>
        </w:rPr>
      </w:pPr>
      <w:r>
        <w:rPr>
          <w:rFonts w:eastAsia="Calibri"/>
          <w:bCs w:val="0"/>
          <w:color w:val="000000" w:themeColor="text1"/>
          <w:sz w:val="22"/>
          <w:szCs w:val="22"/>
          <w14:textFill>
            <w14:solidFill>
              <w14:schemeClr w14:val="tx1"/>
            </w14:solidFill>
          </w14:textFill>
        </w:rPr>
        <w:t xml:space="preserve">For the Questions, write the number of the question on the answer booklet(s) in the order you answered them.  </w:t>
      </w:r>
    </w:p>
    <w:p w14:paraId="33EBA7FB">
      <w:pPr>
        <w:numPr>
          <w:ilvl w:val="0"/>
          <w:numId w:val="1"/>
        </w:numPr>
        <w:spacing w:after="0" w:line="240" w:lineRule="auto"/>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DO NOT use your PHONE as a CALCULATOR.</w:t>
      </w:r>
    </w:p>
    <w:p w14:paraId="72980612">
      <w:pPr>
        <w:numPr>
          <w:ilvl w:val="0"/>
          <w:numId w:val="1"/>
        </w:numPr>
        <w:spacing w:after="0" w:line="240" w:lineRule="auto"/>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YOU are ONLY ALLOWED to leave the exam room 30minutes to the end of the Exam.</w:t>
      </w:r>
    </w:p>
    <w:p w14:paraId="4D2DE217">
      <w:pPr>
        <w:numPr>
          <w:ilvl w:val="0"/>
          <w:numId w:val="1"/>
        </w:numPr>
        <w:spacing w:after="0" w:line="240" w:lineRule="auto"/>
        <w:rPr>
          <w:rFonts w:ascii="Times New Roman" w:hAnsi="Times New Roman"/>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DO NOT write on the QUESTION PAPER. Use the back of your BOOKLET for any calculations or rough work.</w:t>
      </w:r>
    </w:p>
    <w:p w14:paraId="74476871">
      <w:pPr>
        <w:rPr>
          <w:rFonts w:ascii="Times New Roman" w:hAnsi="Times New Roman"/>
          <w:b/>
          <w:color w:val="000000" w:themeColor="text1"/>
          <w14:textFill>
            <w14:solidFill>
              <w14:schemeClr w14:val="tx1"/>
            </w14:solidFill>
          </w14:textFill>
        </w:rPr>
      </w:pPr>
      <w:r>
        <w:rPr>
          <w:rFonts w:ascii="Times New Roman" w:hAnsi="Times New Roman"/>
          <w:b/>
          <w:color w:val="000000" w:themeColor="text1"/>
          <w14:textFill>
            <w14:solidFill>
              <w14:schemeClr w14:val="tx1"/>
            </w14:solidFill>
          </w14:textFill>
        </w:rPr>
        <w:tab/>
      </w:r>
      <w:r>
        <w:rPr>
          <w:rFonts w:ascii="Times New Roman" w:hAnsi="Times New Roman"/>
          <w:b/>
          <w:color w:val="000000" w:themeColor="text1"/>
          <w14:textFill>
            <w14:solidFill>
              <w14:schemeClr w14:val="tx1"/>
            </w14:solidFill>
          </w14:textFill>
        </w:rPr>
        <w:tab/>
      </w:r>
      <w:r>
        <w:rPr>
          <w:rFonts w:ascii="Times New Roman" w:hAnsi="Times New Roman"/>
          <w:b/>
          <w:color w:val="000000" w:themeColor="text1"/>
          <w14:textFill>
            <w14:solidFill>
              <w14:schemeClr w14:val="tx1"/>
            </w14:solidFill>
          </w14:textFill>
        </w:rPr>
        <w:tab/>
      </w:r>
    </w:p>
    <w:p w14:paraId="727E99F4">
      <w:pPr>
        <w:autoSpaceDE w:val="0"/>
        <w:autoSpaceDN w:val="0"/>
        <w:adjustRightInd w:val="0"/>
        <w:spacing w:after="0" w:line="360" w:lineRule="auto"/>
        <w:jc w:val="both"/>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14:textFill>
            <w14:solidFill>
              <w14:schemeClr w14:val="tx1"/>
            </w14:solidFill>
          </w14:textFill>
        </w:rPr>
        <w:tab/>
      </w:r>
      <w:r>
        <w:rPr>
          <w:rFonts w:ascii="Times New Roman" w:hAnsi="Times New Roman"/>
          <w:b/>
          <w:color w:val="000000" w:themeColor="text1"/>
          <w14:textFill>
            <w14:solidFill>
              <w14:schemeClr w14:val="tx1"/>
            </w14:solidFill>
          </w14:textFill>
        </w:rPr>
        <w:tab/>
      </w:r>
      <w:r>
        <w:rPr>
          <w:rFonts w:ascii="Times New Roman" w:hAnsi="Times New Roman"/>
          <w:b/>
          <w:color w:val="000000" w:themeColor="text1"/>
          <w14:textFill>
            <w14:solidFill>
              <w14:schemeClr w14:val="tx1"/>
            </w14:solidFill>
          </w14:textFill>
        </w:rPr>
        <w:tab/>
      </w:r>
      <w:r>
        <w:rPr>
          <w:rFonts w:ascii="Times New Roman" w:hAnsi="Times New Roman"/>
          <w:b/>
          <w:color w:val="000000" w:themeColor="text1"/>
          <w14:textFill>
            <w14:solidFill>
              <w14:schemeClr w14:val="tx1"/>
            </w14:solidFill>
          </w14:textFill>
        </w:rPr>
        <w:tab/>
      </w:r>
      <w:r>
        <w:rPr>
          <w:rFonts w:ascii="Times New Roman" w:hAnsi="Times New Roman"/>
          <w:b/>
          <w:color w:val="000000" w:themeColor="text1"/>
          <w14:textFill>
            <w14:solidFill>
              <w14:schemeClr w14:val="tx1"/>
            </w14:solidFill>
          </w14:textFill>
        </w:rPr>
        <w:tab/>
      </w:r>
    </w:p>
    <w:p w14:paraId="7DE51CD9">
      <w:pPr>
        <w:spacing w:line="240" w:lineRule="auto"/>
        <w:jc w:val="center"/>
        <w:rPr>
          <w:rFonts w:hint="default" w:ascii="Times New Roman" w:hAnsi="Times New Roman" w:cs="Times New Roman"/>
          <w:b/>
          <w:sz w:val="24"/>
          <w:szCs w:val="24"/>
        </w:rPr>
      </w:pPr>
      <w:r>
        <w:rPr>
          <w:rFonts w:hint="default" w:ascii="Times New Roman" w:hAnsi="Times New Roman" w:cs="Times New Roman"/>
          <w:b/>
          <w:sz w:val="24"/>
          <w:szCs w:val="24"/>
        </w:rPr>
        <w:t>SECTION A (COMPULSORY)</w:t>
      </w:r>
    </w:p>
    <w:p w14:paraId="5990B0BC">
      <w:pPr>
        <w:jc w:val="both"/>
        <w:rPr>
          <w:rFonts w:hint="default" w:ascii="Times New Roman" w:hAnsi="Times New Roman" w:cs="Times New Roman"/>
          <w:b/>
          <w:sz w:val="24"/>
          <w:szCs w:val="24"/>
        </w:rPr>
      </w:pPr>
      <w:r>
        <w:rPr>
          <w:rFonts w:hint="default" w:ascii="Times New Roman" w:hAnsi="Times New Roman" w:cs="Times New Roman"/>
          <w:b/>
          <w:sz w:val="24"/>
          <w:szCs w:val="24"/>
          <w:lang w:val="en-US"/>
        </w:rPr>
        <w:t>QUESTION ONE</w:t>
      </w:r>
      <w:r>
        <w:rPr>
          <w:rFonts w:hint="default" w:ascii="Times New Roman" w:hAnsi="Times New Roman" w:cs="Times New Roman"/>
          <w:b/>
          <w:sz w:val="24"/>
          <w:szCs w:val="24"/>
        </w:rPr>
        <w:t xml:space="preserve"> [30 Marks]</w:t>
      </w:r>
    </w:p>
    <w:p w14:paraId="1ED8F889">
      <w:pPr>
        <w:spacing w:before="100" w:beforeAutospacing="1" w:after="100" w:afterAutospacing="1" w:line="240" w:lineRule="auto"/>
        <w:outlineLvl w:val="2"/>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Case Study: AI-Based Loan Approval at Safaricom’s M-Shwari</w:t>
      </w:r>
    </w:p>
    <w:p w14:paraId="04C36A41">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Safaricom, through its mobile lending platform M-Shwari, uses machine learning models to assess creditworthiness of borrowers based on mobile money transactions, airtime purchases, savings behavior, and repayment history. The system processes thousands of applications daily and automatically approves or rejects loans within seconds.</w:t>
      </w:r>
    </w:p>
    <w:p w14:paraId="57CFE1DB">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Recently, civil society organizations raised concerns that customers from rural counties such as Turkana and Marsabit experience significantly higher loan rejection rates compared to urban users in Nairobi and Mombasa. Further investigation revealed that the training data primarily consisted of historical borrowers from urban regions with stable mobile money usage patterns.</w:t>
      </w:r>
    </w:p>
    <w:p w14:paraId="5D1868C5">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Additionally, some rejected applicants complained that they were not given clear reasons for rejection. The model is based on a gradient boosting algorithm optimized for predictive accuracy. While it performs well in minimizing default rates, customer trust is declining due to lack of transparency.</w:t>
      </w:r>
    </w:p>
    <w:p w14:paraId="6C89EC28">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Safaricom’s data science team must now evaluate whether the model is fair, reliable, and suitable for the Kenyan socio-economic context, while balancing profitability and regulatory compliance under the Kenya Data Protection Act (2019).</w:t>
      </w:r>
    </w:p>
    <w:p w14:paraId="1DC6869C">
      <w:pPr>
        <w:spacing w:before="100" w:beforeAutospacing="1" w:after="100" w:afterAutospacing="1" w:line="240" w:lineRule="auto"/>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Questions</w:t>
      </w:r>
    </w:p>
    <w:p w14:paraId="7A37C4B6">
      <w:pPr>
        <w:numPr>
          <w:ilvl w:val="0"/>
          <w:numId w:val="2"/>
        </w:numPr>
        <w:spacing w:before="100" w:beforeAutospacing="1" w:after="100" w:afterAutospacing="1" w:line="240" w:lineRule="auto"/>
        <w:ind w:left="84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Identify FOUR potential sources of bias in the model.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rPr>
        <w:t>(8 marks)</w:t>
      </w:r>
    </w:p>
    <w:p w14:paraId="522A7169">
      <w:pPr>
        <w:numPr>
          <w:ilvl w:val="0"/>
          <w:numId w:val="2"/>
        </w:numPr>
        <w:spacing w:before="100" w:beforeAutospacing="1" w:after="100" w:afterAutospacing="1" w:line="240" w:lineRule="auto"/>
        <w:ind w:left="84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Explain why model performance (accuracy) alone is insufficient in this context. </w:t>
      </w:r>
      <w:r>
        <w:rPr>
          <w:rFonts w:hint="default" w:ascii="Times New Roman" w:hAnsi="Times New Roman" w:eastAsia="Times New Roman" w:cs="Times New Roman"/>
          <w:sz w:val="24"/>
          <w:szCs w:val="24"/>
          <w:lang w:val="en-US"/>
        </w:rPr>
        <w:t xml:space="preserve">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rPr>
        <w:t>(10 marks)</w:t>
      </w:r>
    </w:p>
    <w:p w14:paraId="336EEF25">
      <w:pPr>
        <w:numPr>
          <w:ilvl w:val="0"/>
          <w:numId w:val="2"/>
        </w:numPr>
        <w:spacing w:before="100" w:beforeAutospacing="1" w:after="100" w:afterAutospacing="1" w:line="240" w:lineRule="auto"/>
        <w:ind w:left="84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Suggest THREE explainability techniques that could improve transparency. </w:t>
      </w:r>
      <w:r>
        <w:rPr>
          <w:rFonts w:hint="default" w:ascii="Times New Roman" w:hAnsi="Times New Roman" w:eastAsia="Times New Roman" w:cs="Times New Roman"/>
          <w:b/>
          <w:bCs/>
          <w:sz w:val="24"/>
          <w:szCs w:val="24"/>
        </w:rPr>
        <w:t>(6 marks)</w:t>
      </w:r>
    </w:p>
    <w:p w14:paraId="3EF5B1D6">
      <w:pPr>
        <w:numPr>
          <w:ilvl w:val="0"/>
          <w:numId w:val="2"/>
        </w:numPr>
        <w:spacing w:before="100" w:beforeAutospacing="1" w:after="100" w:afterAutospacing="1" w:line="240" w:lineRule="auto"/>
        <w:ind w:left="84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Propose THREE improvements to enhance fairness and reliability.</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rPr>
        <w:t xml:space="preserve"> (6 marks)</w:t>
      </w:r>
    </w:p>
    <w:p w14:paraId="303E4F88">
      <w:pPr>
        <w:spacing w:before="100" w:beforeAutospacing="1" w:after="100" w:afterAutospacing="1" w:line="240" w:lineRule="auto"/>
        <w:outlineLvl w:val="1"/>
        <w:rPr>
          <w:rFonts w:hint="default" w:ascii="Times New Roman" w:hAnsi="Times New Roman" w:eastAsia="Times New Roman" w:cs="Times New Roman"/>
          <w:b/>
          <w:bCs/>
          <w:sz w:val="24"/>
          <w:szCs w:val="24"/>
        </w:rPr>
      </w:pPr>
    </w:p>
    <w:p w14:paraId="72B444DE">
      <w:pPr>
        <w:spacing w:before="100" w:beforeAutospacing="1" w:after="100" w:afterAutospacing="1" w:line="240" w:lineRule="auto"/>
        <w:outlineLvl w:val="1"/>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 xml:space="preserve">QUESTION </w:t>
      </w:r>
      <w:r>
        <w:rPr>
          <w:rFonts w:hint="default" w:ascii="Times New Roman" w:hAnsi="Times New Roman" w:eastAsia="Times New Roman" w:cs="Times New Roman"/>
          <w:b/>
          <w:bCs/>
          <w:sz w:val="24"/>
          <w:szCs w:val="24"/>
          <w:lang w:val="en-US"/>
        </w:rPr>
        <w:t>TWO</w:t>
      </w:r>
      <w:r>
        <w:rPr>
          <w:rFonts w:hint="default" w:ascii="Times New Roman" w:hAnsi="Times New Roman" w:eastAsia="Times New Roman" w:cs="Times New Roman"/>
          <w:b/>
          <w:bCs/>
          <w:sz w:val="24"/>
          <w:szCs w:val="24"/>
        </w:rPr>
        <w:t xml:space="preserve"> (20 MARKS)</w:t>
      </w:r>
    </w:p>
    <w:p w14:paraId="08C2E898">
      <w:pPr>
        <w:spacing w:before="100" w:beforeAutospacing="1" w:after="100" w:afterAutospacing="1" w:line="240" w:lineRule="auto"/>
        <w:outlineLvl w:val="2"/>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Case Study: AI Diagnostic Tool in a County Hospital in Kisumu</w:t>
      </w:r>
    </w:p>
    <w:p w14:paraId="3861D115">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 county hospital in Kisumu deployed an AI-based diagnostic support system to assist doctors in detecting pneumonia from chest X-rays. The system was trained using a large international dataset combined with limited Kenyan hospital data.</w:t>
      </w:r>
    </w:p>
    <w:p w14:paraId="1B9EDF82">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model achieved 94% accuracy during testing. However, doctors noticed inconsistent predictions for patients with co-morbidities such as tuberculosis and HIV, which are more prevalent locally. Some patients were incorrectly classified as low risk, delaying treatment.</w:t>
      </w:r>
    </w:p>
    <w:p w14:paraId="38F13FA4">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Hospital administrators argue that the high accuracy justifies deployment. However, clinicians demand explainability before fully trusting the tool. They want to know which image features influenced the AI’s diagnosis.</w:t>
      </w:r>
    </w:p>
    <w:p w14:paraId="48EF5610">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system uses a deep convolutional neural network, which functions as a “black box.” The hospital must decide whether to prioritize predictive performance or interpretability, especially given medico-legal risks.</w:t>
      </w:r>
    </w:p>
    <w:p w14:paraId="2E8619D5">
      <w:pPr>
        <w:spacing w:before="100" w:beforeAutospacing="1" w:after="100" w:afterAutospacing="1" w:line="24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rPr>
        <w:t>Questions</w:t>
      </w:r>
    </w:p>
    <w:p w14:paraId="5ABD5C3C">
      <w:pPr>
        <w:numPr>
          <w:ilvl w:val="0"/>
          <w:numId w:val="3"/>
        </w:numPr>
        <w:spacing w:before="100" w:beforeAutospacing="1" w:after="100" w:afterAutospacing="1" w:line="240" w:lineRule="auto"/>
        <w:ind w:left="84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Explain the explainability vs performance trade-off in this context.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rPr>
        <w:t>(5 marks)</w:t>
      </w:r>
    </w:p>
    <w:p w14:paraId="0D2BF5E7">
      <w:pPr>
        <w:numPr>
          <w:ilvl w:val="0"/>
          <w:numId w:val="3"/>
        </w:numPr>
        <w:spacing w:before="100" w:beforeAutospacing="1" w:after="100" w:afterAutospacing="1" w:line="240" w:lineRule="auto"/>
        <w:ind w:left="84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Identify TWO risks of deploying a black-box model in healthcare.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rPr>
        <w:t>(5 marks)</w:t>
      </w:r>
    </w:p>
    <w:p w14:paraId="238AF8EB">
      <w:pPr>
        <w:numPr>
          <w:ilvl w:val="0"/>
          <w:numId w:val="3"/>
        </w:numPr>
        <w:spacing w:before="100" w:beforeAutospacing="1" w:after="100" w:afterAutospacing="1" w:line="240" w:lineRule="auto"/>
        <w:ind w:left="84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Suggest statistical validation steps appropriate for the Kenyan setting.</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rPr>
        <w:t xml:space="preserve"> (5 marks)</w:t>
      </w:r>
    </w:p>
    <w:p w14:paraId="6999C948">
      <w:pPr>
        <w:numPr>
          <w:ilvl w:val="0"/>
          <w:numId w:val="3"/>
        </w:numPr>
        <w:spacing w:before="100" w:beforeAutospacing="1" w:after="100" w:afterAutospacing="1" w:line="240" w:lineRule="auto"/>
        <w:ind w:left="84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Recommend a balanced approach to implementation.</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rPr>
        <w:t xml:space="preserve"> (5 marks)</w:t>
      </w:r>
    </w:p>
    <w:p w14:paraId="4BCBC53E">
      <w:pPr>
        <w:spacing w:after="0" w:line="240" w:lineRule="auto"/>
        <w:rPr>
          <w:rFonts w:hint="default" w:ascii="Times New Roman" w:hAnsi="Times New Roman" w:eastAsia="Times New Roman" w:cs="Times New Roman"/>
          <w:sz w:val="24"/>
          <w:szCs w:val="24"/>
        </w:rPr>
      </w:pPr>
    </w:p>
    <w:p w14:paraId="635ABF8D">
      <w:pPr>
        <w:spacing w:after="0" w:line="240" w:lineRule="auto"/>
        <w:rPr>
          <w:rFonts w:hint="default" w:ascii="Times New Roman" w:hAnsi="Times New Roman" w:eastAsia="Times New Roman" w:cs="Times New Roman"/>
          <w:sz w:val="24"/>
          <w:szCs w:val="24"/>
        </w:rPr>
      </w:pPr>
    </w:p>
    <w:p w14:paraId="2B7370DF">
      <w:pPr>
        <w:spacing w:before="100" w:beforeAutospacing="1" w:after="100" w:afterAutospacing="1" w:line="240" w:lineRule="auto"/>
        <w:outlineLvl w:val="1"/>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 xml:space="preserve">QUESTION </w:t>
      </w:r>
      <w:r>
        <w:rPr>
          <w:rFonts w:hint="default" w:ascii="Times New Roman" w:hAnsi="Times New Roman" w:eastAsia="Times New Roman" w:cs="Times New Roman"/>
          <w:b/>
          <w:bCs/>
          <w:sz w:val="24"/>
          <w:szCs w:val="24"/>
          <w:lang w:val="en-US"/>
        </w:rPr>
        <w:t xml:space="preserve">THREE </w:t>
      </w:r>
      <w:r>
        <w:rPr>
          <w:rFonts w:hint="default" w:ascii="Times New Roman" w:hAnsi="Times New Roman" w:eastAsia="Times New Roman" w:cs="Times New Roman"/>
          <w:b/>
          <w:bCs/>
          <w:sz w:val="24"/>
          <w:szCs w:val="24"/>
        </w:rPr>
        <w:t>(20 MARKS)</w:t>
      </w:r>
    </w:p>
    <w:p w14:paraId="06BDDD07">
      <w:pPr>
        <w:spacing w:before="100" w:beforeAutospacing="1" w:after="100" w:afterAutospacing="1" w:line="240" w:lineRule="auto"/>
        <w:outlineLvl w:val="2"/>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Case Study: Huduma Namba and Data Quality Concerns</w:t>
      </w:r>
    </w:p>
    <w:p w14:paraId="3CD509FE">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Kenyan government introduced Huduma Namba to create a centralized digital identity database integrating health, tax, and social service data.</w:t>
      </w:r>
    </w:p>
    <w:p w14:paraId="53ED34CE">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During registration, reports emerged of missing biometric records, inconsistent spellings of names, and exclusion of marginalized communities such as pastoralists. Data scientists tasked with building predictive systems for service allocation discovered incomplete and duplicated records.</w:t>
      </w:r>
    </w:p>
    <w:p w14:paraId="4B616355">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Some counties had higher data entry errors due to limited ICT infrastructure. Policymakers were eager to use the dataset for predictive targeting of social protection programs despite quality concerns.</w:t>
      </w:r>
    </w:p>
    <w:p w14:paraId="722C9E93">
      <w:pPr>
        <w:spacing w:before="100" w:beforeAutospacing="1" w:after="100" w:afterAutospacing="1" w:line="240" w:lineRule="auto"/>
        <w:outlineLvl w:val="2"/>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Questions</w:t>
      </w:r>
    </w:p>
    <w:p w14:paraId="02173616">
      <w:pPr>
        <w:numPr>
          <w:ilvl w:val="0"/>
          <w:numId w:val="4"/>
        </w:numPr>
        <w:spacing w:before="100" w:beforeAutospacing="1" w:after="100" w:afterAutospacing="1" w:line="240" w:lineRule="auto"/>
        <w:ind w:left="84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Identify THREE data quality issues present.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rPr>
        <w:t xml:space="preserve">(5 marks) </w:t>
      </w:r>
    </w:p>
    <w:p w14:paraId="39942E85">
      <w:pPr>
        <w:numPr>
          <w:ilvl w:val="0"/>
          <w:numId w:val="4"/>
        </w:numPr>
        <w:spacing w:before="100" w:beforeAutospacing="1" w:after="100" w:afterAutospacing="1" w:line="240" w:lineRule="auto"/>
        <w:ind w:left="84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Explain the “garbage in, garbage out” principle in this case.</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rPr>
        <w:t xml:space="preserve"> (5 marks)</w:t>
      </w:r>
    </w:p>
    <w:p w14:paraId="47FD7618">
      <w:pPr>
        <w:numPr>
          <w:ilvl w:val="0"/>
          <w:numId w:val="4"/>
        </w:numPr>
        <w:spacing w:before="100" w:beforeAutospacing="1" w:after="100" w:afterAutospacing="1" w:line="240" w:lineRule="auto"/>
        <w:ind w:left="84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Recommend preprocessing techniques to improve reliability.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rPr>
        <w:t>(5 marks)</w:t>
      </w:r>
    </w:p>
    <w:p w14:paraId="42F26084">
      <w:pPr>
        <w:numPr>
          <w:ilvl w:val="0"/>
          <w:numId w:val="4"/>
        </w:numPr>
        <w:spacing w:before="100" w:beforeAutospacing="1" w:after="100" w:afterAutospacing="1" w:line="240" w:lineRule="auto"/>
        <w:ind w:left="84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Discuss ethical implications of using flawed national data.</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rPr>
        <w:t xml:space="preserve"> (5 marks)</w:t>
      </w:r>
    </w:p>
    <w:p w14:paraId="13400359">
      <w:pPr>
        <w:spacing w:before="100" w:beforeAutospacing="1" w:after="100" w:afterAutospacing="1" w:line="240" w:lineRule="auto"/>
        <w:outlineLvl w:val="1"/>
        <w:rPr>
          <w:rFonts w:hint="default" w:ascii="Times New Roman" w:hAnsi="Times New Roman" w:eastAsia="Times New Roman" w:cs="Times New Roman"/>
          <w:b/>
          <w:bCs/>
          <w:sz w:val="24"/>
          <w:szCs w:val="24"/>
        </w:rPr>
      </w:pPr>
    </w:p>
    <w:p w14:paraId="7D0D2A8D">
      <w:pPr>
        <w:spacing w:before="100" w:beforeAutospacing="1" w:after="100" w:afterAutospacing="1" w:line="240" w:lineRule="auto"/>
        <w:outlineLvl w:val="1"/>
        <w:rPr>
          <w:rFonts w:hint="default" w:ascii="Times New Roman" w:hAnsi="Times New Roman" w:eastAsia="Times New Roman" w:cs="Times New Roman"/>
          <w:b/>
          <w:bCs/>
          <w:sz w:val="24"/>
          <w:szCs w:val="24"/>
        </w:rPr>
      </w:pPr>
    </w:p>
    <w:p w14:paraId="33678D28">
      <w:pPr>
        <w:spacing w:before="100" w:beforeAutospacing="1" w:after="100" w:afterAutospacing="1" w:line="240" w:lineRule="auto"/>
        <w:outlineLvl w:val="1"/>
        <w:rPr>
          <w:rFonts w:hint="default" w:ascii="Times New Roman" w:hAnsi="Times New Roman" w:eastAsia="Times New Roman" w:cs="Times New Roman"/>
          <w:b/>
          <w:bCs/>
          <w:sz w:val="24"/>
          <w:szCs w:val="24"/>
        </w:rPr>
      </w:pPr>
    </w:p>
    <w:p w14:paraId="34811DB0">
      <w:pPr>
        <w:spacing w:before="100" w:beforeAutospacing="1" w:after="100" w:afterAutospacing="1" w:line="240" w:lineRule="auto"/>
        <w:outlineLvl w:val="1"/>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QUESTION 4 (20 MARKS)</w:t>
      </w:r>
    </w:p>
    <w:p w14:paraId="585CBDD5">
      <w:pPr>
        <w:spacing w:before="100" w:beforeAutospacing="1" w:after="100" w:afterAutospacing="1" w:line="240" w:lineRule="auto"/>
        <w:outlineLvl w:val="2"/>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Case Study: Predictive Policing Pilot in Nairobi</w:t>
      </w:r>
    </w:p>
    <w:p w14:paraId="78EB667F">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 Nairobi security startup piloted a predictive policing system analyzing crime reports and geographic data to forecast high-risk zones.</w:t>
      </w:r>
    </w:p>
    <w:p w14:paraId="79C81955">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algorithm identified informal settlements as high-risk areas due to historically higher reported crime rates. Police increased patrols in those neighborhoods. Over time, more arrests were recorded there, reinforcing the model’s predictions.</w:t>
      </w:r>
    </w:p>
    <w:p w14:paraId="17CBCA0B">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Community leaders argued that the system created a feedback loop and unfair targeting. Analysts noted that crime reporting rates differ across neighborhoods, meaning data may reflect policing intensity rather than actual crime prevalence.</w:t>
      </w:r>
    </w:p>
    <w:p w14:paraId="7874752B">
      <w:pPr>
        <w:spacing w:before="100" w:beforeAutospacing="1" w:after="100" w:afterAutospacing="1" w:line="240" w:lineRule="auto"/>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Questions</w:t>
      </w:r>
    </w:p>
    <w:p w14:paraId="086BAFF0">
      <w:pPr>
        <w:numPr>
          <w:ilvl w:val="0"/>
          <w:numId w:val="5"/>
        </w:numPr>
        <w:spacing w:before="100" w:beforeAutospacing="1" w:after="100" w:afterAutospacing="1" w:line="240" w:lineRule="auto"/>
        <w:ind w:left="84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Explain how feedback loops emerge in predictive systems.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rPr>
        <w:t>(5 marks)</w:t>
      </w:r>
    </w:p>
    <w:p w14:paraId="3D407FA1">
      <w:pPr>
        <w:numPr>
          <w:ilvl w:val="0"/>
          <w:numId w:val="5"/>
        </w:numPr>
        <w:spacing w:before="100" w:beforeAutospacing="1" w:after="100" w:afterAutospacing="1" w:line="240" w:lineRule="auto"/>
        <w:ind w:left="84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Identify TWO biases affecting the model.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rPr>
        <w:t>(5 marks)</w:t>
      </w:r>
    </w:p>
    <w:p w14:paraId="6385E73D">
      <w:pPr>
        <w:numPr>
          <w:ilvl w:val="0"/>
          <w:numId w:val="5"/>
        </w:numPr>
        <w:spacing w:before="100" w:beforeAutospacing="1" w:after="100" w:afterAutospacing="1" w:line="240" w:lineRule="auto"/>
        <w:ind w:left="84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Suggest evaluation metrics beyond accuracy.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rPr>
        <w:t>(5 marks)</w:t>
      </w:r>
    </w:p>
    <w:p w14:paraId="26BFED95">
      <w:pPr>
        <w:numPr>
          <w:ilvl w:val="0"/>
          <w:numId w:val="5"/>
        </w:numPr>
        <w:spacing w:before="100" w:beforeAutospacing="1" w:after="100" w:afterAutospacing="1" w:line="240" w:lineRule="auto"/>
        <w:ind w:left="84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Propose ethical safeguards.</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rPr>
        <w:t xml:space="preserve"> (5 marks)</w:t>
      </w:r>
    </w:p>
    <w:p w14:paraId="094F4225">
      <w:pPr>
        <w:spacing w:before="100" w:beforeAutospacing="1" w:after="100" w:afterAutospacing="1" w:line="240" w:lineRule="auto"/>
        <w:outlineLvl w:val="1"/>
        <w:rPr>
          <w:rFonts w:hint="default" w:ascii="Times New Roman" w:hAnsi="Times New Roman" w:eastAsia="Times New Roman" w:cs="Times New Roman"/>
          <w:b/>
          <w:bCs/>
          <w:sz w:val="24"/>
          <w:szCs w:val="24"/>
        </w:rPr>
      </w:pPr>
    </w:p>
    <w:p w14:paraId="2C0A2374">
      <w:pPr>
        <w:spacing w:before="100" w:beforeAutospacing="1" w:after="100" w:afterAutospacing="1" w:line="240" w:lineRule="auto"/>
        <w:outlineLvl w:val="1"/>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 xml:space="preserve">QUESTION </w:t>
      </w:r>
      <w:r>
        <w:rPr>
          <w:rFonts w:hint="default" w:ascii="Times New Roman" w:hAnsi="Times New Roman" w:eastAsia="Times New Roman" w:cs="Times New Roman"/>
          <w:b/>
          <w:bCs/>
          <w:sz w:val="24"/>
          <w:szCs w:val="24"/>
          <w:lang w:val="en-US"/>
        </w:rPr>
        <w:t>FIVE</w:t>
      </w:r>
      <w:r>
        <w:rPr>
          <w:rFonts w:hint="default" w:ascii="Times New Roman" w:hAnsi="Times New Roman" w:eastAsia="Times New Roman" w:cs="Times New Roman"/>
          <w:b/>
          <w:bCs/>
          <w:sz w:val="24"/>
          <w:szCs w:val="24"/>
        </w:rPr>
        <w:t xml:space="preserve"> (20 MARKS)</w:t>
      </w:r>
    </w:p>
    <w:p w14:paraId="1BFEE712">
      <w:pPr>
        <w:spacing w:before="100" w:beforeAutospacing="1" w:after="100" w:afterAutospacing="1" w:line="240" w:lineRule="auto"/>
        <w:outlineLvl w:val="2"/>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Case Study: Agricultural Yield Prediction in Western Kenya</w:t>
      </w:r>
    </w:p>
    <w:p w14:paraId="1CF34D6C">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 Kenyan agri-tech startup uses machine learning to predict maize yields for smallholder farmers using satellite imagery, weather data, and soil sensors.</w:t>
      </w:r>
    </w:p>
    <w:p w14:paraId="3CEDDE55">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model was trained using data from large commercial farms in Nakuru and Uasin Gishu. When deployed in Busia and Bungoma, predictions were inaccurate due to differences in soil quality and farming practices.</w:t>
      </w:r>
    </w:p>
    <w:p w14:paraId="0C774244">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Farmers relied on the forecasts to purchase fertilizer and seeds. Incorrect predictions resulted in financial losses. Investors focus on improving predictive accuracy, while field officers argue that contextual explainability is more important for farmer trust.</w:t>
      </w:r>
    </w:p>
    <w:p w14:paraId="5635E6F2">
      <w:pPr>
        <w:spacing w:before="100" w:beforeAutospacing="1" w:after="100" w:afterAutospacing="1" w:line="240" w:lineRule="auto"/>
        <w:outlineLvl w:val="2"/>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Questions</w:t>
      </w:r>
    </w:p>
    <w:p w14:paraId="4AE7075A">
      <w:pPr>
        <w:numPr>
          <w:ilvl w:val="0"/>
          <w:numId w:val="6"/>
        </w:numPr>
        <w:spacing w:before="100" w:beforeAutospacing="1" w:after="100" w:afterAutospacing="1" w:line="240" w:lineRule="auto"/>
        <w:ind w:left="42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Why did the model fail to generalize?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lang w:val="en-US"/>
        </w:rPr>
        <w:t xml:space="preserve"> </w:t>
      </w:r>
      <w:r>
        <w:rPr>
          <w:rFonts w:hint="default" w:ascii="Times New Roman" w:hAnsi="Times New Roman" w:eastAsia="Times New Roman" w:cs="Times New Roman"/>
          <w:b/>
          <w:bCs/>
          <w:sz w:val="24"/>
          <w:szCs w:val="24"/>
        </w:rPr>
        <w:t>(5 marks)</w:t>
      </w:r>
    </w:p>
    <w:p w14:paraId="66284949">
      <w:pPr>
        <w:numPr>
          <w:ilvl w:val="0"/>
          <w:numId w:val="6"/>
        </w:numPr>
        <w:spacing w:before="100" w:beforeAutospacing="1" w:after="100" w:afterAutospacing="1" w:line="240" w:lineRule="auto"/>
        <w:ind w:left="42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Explain the importance of local validation</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bookmarkStart w:id="0" w:name="_GoBack"/>
      <w:r>
        <w:rPr>
          <w:rFonts w:hint="default" w:ascii="Times New Roman" w:hAnsi="Times New Roman" w:eastAsia="Times New Roman" w:cs="Times New Roman"/>
          <w:b/>
          <w:bCs/>
          <w:sz w:val="24"/>
          <w:szCs w:val="24"/>
          <w:lang w:val="en-US"/>
        </w:rPr>
        <w:t xml:space="preserve"> </w:t>
      </w:r>
      <w:r>
        <w:rPr>
          <w:rFonts w:hint="default" w:ascii="Times New Roman" w:hAnsi="Times New Roman" w:eastAsia="Times New Roman" w:cs="Times New Roman"/>
          <w:b/>
          <w:bCs/>
          <w:sz w:val="24"/>
          <w:szCs w:val="24"/>
        </w:rPr>
        <w:t>(5 marks)</w:t>
      </w:r>
      <w:bookmarkEnd w:id="0"/>
    </w:p>
    <w:p w14:paraId="7BE113CA">
      <w:pPr>
        <w:numPr>
          <w:ilvl w:val="0"/>
          <w:numId w:val="6"/>
        </w:numPr>
        <w:spacing w:before="100" w:beforeAutospacing="1" w:after="100" w:afterAutospacing="1" w:line="240" w:lineRule="auto"/>
        <w:ind w:left="42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Recommend TWO statistical techniques for model evaluation.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xml:space="preserve"> </w:t>
      </w:r>
      <w:r>
        <w:rPr>
          <w:rFonts w:hint="default" w:ascii="Times New Roman" w:hAnsi="Times New Roman" w:eastAsia="Times New Roman" w:cs="Times New Roman"/>
          <w:b/>
          <w:bCs/>
          <w:sz w:val="24"/>
          <w:szCs w:val="24"/>
        </w:rPr>
        <w:t>(5 marks)</w:t>
      </w:r>
    </w:p>
    <w:p w14:paraId="5BA85A32">
      <w:pPr>
        <w:numPr>
          <w:ilvl w:val="0"/>
          <w:numId w:val="6"/>
        </w:numPr>
        <w:spacing w:before="100" w:beforeAutospacing="1" w:after="100" w:afterAutospacing="1" w:line="240" w:lineRule="auto"/>
        <w:ind w:left="425" w:leftChars="0" w:hanging="425" w:firstLineChars="0"/>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Suggest how explainability could improve adoption.</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sz w:val="24"/>
          <w:szCs w:val="24"/>
        </w:rPr>
        <w:t xml:space="preserve"> (5 marks)</w:t>
      </w: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DejaVu Sans">
    <w:altName w:val="Yu Gothic"/>
    <w:panose1 w:val="00000000000000000000"/>
    <w:charset w:val="8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Yu Gothic">
    <w:panose1 w:val="020B0400000000000000"/>
    <w:charset w:val="80"/>
    <w:family w:val="auto"/>
    <w:pitch w:val="default"/>
    <w:sig w:usb0="E00002FF" w:usb1="2AC7FDFF" w:usb2="00000016" w:usb3="00000000" w:csb0="2002009F" w:csb1="00000000"/>
  </w:font>
  <w:font w:name="Arial Rounded MT Bold">
    <w:panose1 w:val="020F07040305040302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7556310"/>
      <w:docPartObj>
        <w:docPartGallery w:val="AutoText"/>
      </w:docPartObj>
    </w:sdtPr>
    <w:sdtContent>
      <w:sdt>
        <w:sdtPr>
          <w:id w:val="-1669238322"/>
          <w:docPartObj>
            <w:docPartGallery w:val="AutoText"/>
          </w:docPartObj>
        </w:sdtPr>
        <w:sdtContent>
          <w:p w14:paraId="557CDC8A">
            <w:pPr>
              <w:pStyle w:val="8"/>
              <w:jc w:val="center"/>
            </w:pPr>
            <w:r>
              <w:t xml:space="preserve">Page </w:t>
            </w:r>
            <w:r>
              <w:rPr>
                <w:b/>
                <w:bCs/>
              </w:rPr>
              <w:fldChar w:fldCharType="begin"/>
            </w:r>
            <w:r>
              <w:rPr>
                <w:b/>
                <w:bCs/>
              </w:rPr>
              <w:instrText xml:space="preserve"> PAGE </w:instrText>
            </w:r>
            <w:r>
              <w:rPr>
                <w:b/>
                <w:bCs/>
              </w:rPr>
              <w:fldChar w:fldCharType="separate"/>
            </w:r>
            <w:r>
              <w:rPr>
                <w:b/>
                <w:bCs/>
              </w:rPr>
              <w:t>4</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4</w:t>
            </w:r>
            <w:r>
              <w:rPr>
                <w:b/>
                <w:bCs/>
              </w:rPr>
              <w:fldChar w:fldCharType="end"/>
            </w:r>
          </w:p>
        </w:sdtContent>
      </w:sdt>
    </w:sdtContent>
  </w:sdt>
  <w:p w14:paraId="32258AE7">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34345"/>
    <w:multiLevelType w:val="singleLevel"/>
    <w:tmpl w:val="80F34345"/>
    <w:lvl w:ilvl="0" w:tentative="0">
      <w:start w:val="1"/>
      <w:numFmt w:val="lowerLetter"/>
      <w:lvlText w:val="%1)"/>
      <w:lvlJc w:val="left"/>
      <w:pPr>
        <w:tabs>
          <w:tab w:val="left" w:pos="845"/>
        </w:tabs>
        <w:ind w:left="845" w:leftChars="0" w:hanging="425" w:firstLineChars="0"/>
      </w:pPr>
      <w:rPr>
        <w:rFonts w:hint="default"/>
      </w:rPr>
    </w:lvl>
  </w:abstractNum>
  <w:abstractNum w:abstractNumId="1">
    <w:nsid w:val="FDCE0FCB"/>
    <w:multiLevelType w:val="singleLevel"/>
    <w:tmpl w:val="FDCE0FCB"/>
    <w:lvl w:ilvl="0" w:tentative="0">
      <w:start w:val="1"/>
      <w:numFmt w:val="lowerLetter"/>
      <w:lvlText w:val="%1)"/>
      <w:lvlJc w:val="left"/>
      <w:pPr>
        <w:tabs>
          <w:tab w:val="left" w:pos="425"/>
        </w:tabs>
        <w:ind w:left="425" w:leftChars="0" w:hanging="425" w:firstLineChars="0"/>
      </w:pPr>
      <w:rPr>
        <w:rFonts w:hint="default"/>
      </w:rPr>
    </w:lvl>
  </w:abstractNum>
  <w:abstractNum w:abstractNumId="2">
    <w:nsid w:val="23ACCA8C"/>
    <w:multiLevelType w:val="singleLevel"/>
    <w:tmpl w:val="23ACCA8C"/>
    <w:lvl w:ilvl="0" w:tentative="0">
      <w:start w:val="1"/>
      <w:numFmt w:val="lowerLetter"/>
      <w:lvlText w:val="%1)"/>
      <w:lvlJc w:val="left"/>
      <w:pPr>
        <w:tabs>
          <w:tab w:val="left" w:pos="845"/>
        </w:tabs>
        <w:ind w:left="845" w:leftChars="0" w:hanging="425" w:firstLineChars="0"/>
      </w:pPr>
      <w:rPr>
        <w:rFonts w:hint="default"/>
      </w:rPr>
    </w:lvl>
  </w:abstractNum>
  <w:abstractNum w:abstractNumId="3">
    <w:nsid w:val="35BE8105"/>
    <w:multiLevelType w:val="singleLevel"/>
    <w:tmpl w:val="35BE8105"/>
    <w:lvl w:ilvl="0" w:tentative="0">
      <w:start w:val="1"/>
      <w:numFmt w:val="lowerLetter"/>
      <w:lvlText w:val="%1)"/>
      <w:lvlJc w:val="left"/>
      <w:pPr>
        <w:tabs>
          <w:tab w:val="left" w:pos="845"/>
        </w:tabs>
        <w:ind w:left="845" w:leftChars="0" w:hanging="425" w:firstLineChars="0"/>
      </w:pPr>
      <w:rPr>
        <w:rFonts w:hint="default"/>
      </w:rPr>
    </w:lvl>
  </w:abstractNum>
  <w:abstractNum w:abstractNumId="4">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5">
    <w:nsid w:val="768BF5B5"/>
    <w:multiLevelType w:val="singleLevel"/>
    <w:tmpl w:val="768BF5B5"/>
    <w:lvl w:ilvl="0" w:tentative="0">
      <w:start w:val="1"/>
      <w:numFmt w:val="lowerLetter"/>
      <w:lvlText w:val="%1)"/>
      <w:lvlJc w:val="left"/>
      <w:pPr>
        <w:tabs>
          <w:tab w:val="left" w:pos="845"/>
        </w:tabs>
        <w:ind w:left="845" w:leftChars="0" w:hanging="425" w:firstLineChars="0"/>
      </w:pPr>
      <w:rPr>
        <w:rFonts w:hint="default"/>
      </w:rPr>
    </w:lvl>
  </w:abstractNum>
  <w:num w:numId="1">
    <w:abstractNumId w:val="4"/>
    <w:lvlOverride w:ilvl="0">
      <w:startOverride w:val="1"/>
    </w:lvlOverride>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89B"/>
    <w:rsid w:val="0000330C"/>
    <w:rsid w:val="00007B6E"/>
    <w:rsid w:val="00026B01"/>
    <w:rsid w:val="00036127"/>
    <w:rsid w:val="0004349D"/>
    <w:rsid w:val="00043F77"/>
    <w:rsid w:val="0005666D"/>
    <w:rsid w:val="00066F6D"/>
    <w:rsid w:val="000678E6"/>
    <w:rsid w:val="000D5642"/>
    <w:rsid w:val="000D6655"/>
    <w:rsid w:val="000F0ADA"/>
    <w:rsid w:val="001124DD"/>
    <w:rsid w:val="00123F2E"/>
    <w:rsid w:val="00146568"/>
    <w:rsid w:val="00170635"/>
    <w:rsid w:val="0017186C"/>
    <w:rsid w:val="001837BC"/>
    <w:rsid w:val="00187EF5"/>
    <w:rsid w:val="00194239"/>
    <w:rsid w:val="001954FE"/>
    <w:rsid w:val="0019601D"/>
    <w:rsid w:val="001B1920"/>
    <w:rsid w:val="001E44C5"/>
    <w:rsid w:val="001E7A78"/>
    <w:rsid w:val="00206E00"/>
    <w:rsid w:val="002167FF"/>
    <w:rsid w:val="0022752F"/>
    <w:rsid w:val="00231A44"/>
    <w:rsid w:val="0028302D"/>
    <w:rsid w:val="00283BBC"/>
    <w:rsid w:val="00284D4B"/>
    <w:rsid w:val="00292CEC"/>
    <w:rsid w:val="0029521C"/>
    <w:rsid w:val="002968DC"/>
    <w:rsid w:val="002A1015"/>
    <w:rsid w:val="002C323D"/>
    <w:rsid w:val="002C7A28"/>
    <w:rsid w:val="002D13D5"/>
    <w:rsid w:val="002D59A4"/>
    <w:rsid w:val="002D7D69"/>
    <w:rsid w:val="002E76B5"/>
    <w:rsid w:val="002F6689"/>
    <w:rsid w:val="00300E05"/>
    <w:rsid w:val="00306498"/>
    <w:rsid w:val="003163E3"/>
    <w:rsid w:val="003253F9"/>
    <w:rsid w:val="003332A5"/>
    <w:rsid w:val="003560D7"/>
    <w:rsid w:val="003674E4"/>
    <w:rsid w:val="00387DD7"/>
    <w:rsid w:val="003B06D7"/>
    <w:rsid w:val="003F05E1"/>
    <w:rsid w:val="00414C13"/>
    <w:rsid w:val="00417C3E"/>
    <w:rsid w:val="004241BE"/>
    <w:rsid w:val="00427D83"/>
    <w:rsid w:val="0043321C"/>
    <w:rsid w:val="0046712B"/>
    <w:rsid w:val="00496CAC"/>
    <w:rsid w:val="004A6E15"/>
    <w:rsid w:val="004C6908"/>
    <w:rsid w:val="004C73D3"/>
    <w:rsid w:val="004D185F"/>
    <w:rsid w:val="004F0ED1"/>
    <w:rsid w:val="00506564"/>
    <w:rsid w:val="00526E6C"/>
    <w:rsid w:val="005949B1"/>
    <w:rsid w:val="005A3FD4"/>
    <w:rsid w:val="005B36E4"/>
    <w:rsid w:val="005C3E60"/>
    <w:rsid w:val="005C4609"/>
    <w:rsid w:val="005D7933"/>
    <w:rsid w:val="005E3AB1"/>
    <w:rsid w:val="005E7044"/>
    <w:rsid w:val="006131DB"/>
    <w:rsid w:val="00631AF0"/>
    <w:rsid w:val="0063712F"/>
    <w:rsid w:val="006407C0"/>
    <w:rsid w:val="00671BB5"/>
    <w:rsid w:val="0067461F"/>
    <w:rsid w:val="00697731"/>
    <w:rsid w:val="006B5B5D"/>
    <w:rsid w:val="006B631B"/>
    <w:rsid w:val="006D4A5D"/>
    <w:rsid w:val="006D68A9"/>
    <w:rsid w:val="006F4E55"/>
    <w:rsid w:val="006F7A49"/>
    <w:rsid w:val="00722890"/>
    <w:rsid w:val="007277E8"/>
    <w:rsid w:val="0074404F"/>
    <w:rsid w:val="00790E53"/>
    <w:rsid w:val="00793B35"/>
    <w:rsid w:val="007A77DE"/>
    <w:rsid w:val="007B5C5D"/>
    <w:rsid w:val="007B6195"/>
    <w:rsid w:val="007D2D3F"/>
    <w:rsid w:val="007E5506"/>
    <w:rsid w:val="007E7D2A"/>
    <w:rsid w:val="00806841"/>
    <w:rsid w:val="00822E63"/>
    <w:rsid w:val="00841D19"/>
    <w:rsid w:val="008554EC"/>
    <w:rsid w:val="008821D3"/>
    <w:rsid w:val="00883D8B"/>
    <w:rsid w:val="008A6B8C"/>
    <w:rsid w:val="008A789B"/>
    <w:rsid w:val="0090482D"/>
    <w:rsid w:val="00911D89"/>
    <w:rsid w:val="00914412"/>
    <w:rsid w:val="00916B5D"/>
    <w:rsid w:val="00920FC9"/>
    <w:rsid w:val="00923DC1"/>
    <w:rsid w:val="0096007F"/>
    <w:rsid w:val="0096528F"/>
    <w:rsid w:val="00986B1E"/>
    <w:rsid w:val="009957EA"/>
    <w:rsid w:val="009B68C6"/>
    <w:rsid w:val="009E3283"/>
    <w:rsid w:val="009E7CE4"/>
    <w:rsid w:val="00A15548"/>
    <w:rsid w:val="00A161E1"/>
    <w:rsid w:val="00A20AED"/>
    <w:rsid w:val="00A25F48"/>
    <w:rsid w:val="00A30E78"/>
    <w:rsid w:val="00A6291F"/>
    <w:rsid w:val="00AA3188"/>
    <w:rsid w:val="00B076F2"/>
    <w:rsid w:val="00B108EB"/>
    <w:rsid w:val="00B11AC0"/>
    <w:rsid w:val="00B169A2"/>
    <w:rsid w:val="00B217D3"/>
    <w:rsid w:val="00B3249B"/>
    <w:rsid w:val="00B33EFD"/>
    <w:rsid w:val="00B431FB"/>
    <w:rsid w:val="00B45733"/>
    <w:rsid w:val="00B532BF"/>
    <w:rsid w:val="00B7736C"/>
    <w:rsid w:val="00B9269E"/>
    <w:rsid w:val="00BC74A6"/>
    <w:rsid w:val="00BF6D67"/>
    <w:rsid w:val="00C12FA4"/>
    <w:rsid w:val="00C2148C"/>
    <w:rsid w:val="00C21E52"/>
    <w:rsid w:val="00C4368C"/>
    <w:rsid w:val="00C86AC9"/>
    <w:rsid w:val="00CA1AD0"/>
    <w:rsid w:val="00CA266C"/>
    <w:rsid w:val="00CB0B2B"/>
    <w:rsid w:val="00CD7D70"/>
    <w:rsid w:val="00D10072"/>
    <w:rsid w:val="00D23F7D"/>
    <w:rsid w:val="00D24E48"/>
    <w:rsid w:val="00D7689E"/>
    <w:rsid w:val="00D804EF"/>
    <w:rsid w:val="00D82E0E"/>
    <w:rsid w:val="00DC7F16"/>
    <w:rsid w:val="00DD016A"/>
    <w:rsid w:val="00DD7DAC"/>
    <w:rsid w:val="00DE1B61"/>
    <w:rsid w:val="00DE6ECF"/>
    <w:rsid w:val="00DF7A6F"/>
    <w:rsid w:val="00E011AC"/>
    <w:rsid w:val="00E22150"/>
    <w:rsid w:val="00E23D21"/>
    <w:rsid w:val="00E300F8"/>
    <w:rsid w:val="00E319E7"/>
    <w:rsid w:val="00E401EE"/>
    <w:rsid w:val="00E5776A"/>
    <w:rsid w:val="00E64992"/>
    <w:rsid w:val="00E76BB5"/>
    <w:rsid w:val="00E8461F"/>
    <w:rsid w:val="00E906F1"/>
    <w:rsid w:val="00E91776"/>
    <w:rsid w:val="00EA6547"/>
    <w:rsid w:val="00EC0374"/>
    <w:rsid w:val="00ED6117"/>
    <w:rsid w:val="00F01B37"/>
    <w:rsid w:val="00F24405"/>
    <w:rsid w:val="00F36D6F"/>
    <w:rsid w:val="00F475E1"/>
    <w:rsid w:val="00F51A8B"/>
    <w:rsid w:val="00F60E14"/>
    <w:rsid w:val="00F94FA9"/>
    <w:rsid w:val="00F951F2"/>
    <w:rsid w:val="00FB1023"/>
    <w:rsid w:val="00FC3B07"/>
    <w:rsid w:val="00FC419A"/>
    <w:rsid w:val="00FE5AED"/>
    <w:rsid w:val="00FF339F"/>
    <w:rsid w:val="00FF6BD7"/>
    <w:rsid w:val="367F6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link w:val="14"/>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paragraph" w:styleId="3">
    <w:name w:val="heading 2"/>
    <w:basedOn w:val="1"/>
    <w:next w:val="1"/>
    <w:link w:val="21"/>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6"/>
    <w:semiHidden/>
    <w:unhideWhenUsed/>
    <w:qFormat/>
    <w:uiPriority w:val="99"/>
    <w:pPr>
      <w:spacing w:after="0" w:line="240" w:lineRule="auto"/>
    </w:pPr>
    <w:rPr>
      <w:rFonts w:ascii="Tahoma" w:hAnsi="Tahoma" w:cs="Tahoma"/>
      <w:sz w:val="16"/>
      <w:szCs w:val="16"/>
    </w:rPr>
  </w:style>
  <w:style w:type="paragraph" w:styleId="7">
    <w:name w:val="Body Text"/>
    <w:basedOn w:val="1"/>
    <w:link w:val="15"/>
    <w:semiHidden/>
    <w:unhideWhenUsed/>
    <w:qFormat/>
    <w:uiPriority w:val="99"/>
    <w:pPr>
      <w:tabs>
        <w:tab w:val="left" w:pos="720"/>
      </w:tabs>
      <w:suppressAutoHyphens/>
      <w:spacing w:after="120" w:line="100" w:lineRule="atLeast"/>
      <w:textAlignment w:val="baseline"/>
    </w:pPr>
    <w:rPr>
      <w:rFonts w:ascii="Times New Roman" w:hAnsi="Times New Roman" w:eastAsia="DejaVu Sans" w:cs="Times New Roman"/>
      <w:color w:val="00000A"/>
      <w:kern w:val="1"/>
      <w:sz w:val="24"/>
      <w:szCs w:val="24"/>
      <w:lang w:eastAsia="ar-SA"/>
    </w:rPr>
  </w:style>
  <w:style w:type="paragraph" w:styleId="8">
    <w:name w:val="footer"/>
    <w:basedOn w:val="1"/>
    <w:link w:val="18"/>
    <w:qFormat/>
    <w:uiPriority w:val="99"/>
    <w:pPr>
      <w:tabs>
        <w:tab w:val="center" w:pos="4320"/>
        <w:tab w:val="right" w:pos="8640"/>
      </w:tabs>
      <w:spacing w:after="0" w:line="240" w:lineRule="auto"/>
    </w:pPr>
    <w:rPr>
      <w:rFonts w:ascii="Times New Roman" w:hAnsi="Times New Roman" w:eastAsia="Times New Roman" w:cs="Times New Roman"/>
      <w:sz w:val="24"/>
      <w:szCs w:val="24"/>
    </w:rPr>
  </w:style>
  <w:style w:type="paragraph" w:styleId="9">
    <w:name w:val="header"/>
    <w:basedOn w:val="1"/>
    <w:link w:val="19"/>
    <w:unhideWhenUsed/>
    <w:qFormat/>
    <w:uiPriority w:val="99"/>
    <w:pPr>
      <w:tabs>
        <w:tab w:val="center" w:pos="4680"/>
        <w:tab w:val="right" w:pos="9360"/>
      </w:tabs>
      <w:spacing w:after="0" w:line="240" w:lineRule="auto"/>
    </w:pPr>
  </w:style>
  <w:style w:type="character" w:styleId="10">
    <w:name w:val="Hyperlink"/>
    <w:basedOn w:val="4"/>
    <w:unhideWhenUsed/>
    <w:qFormat/>
    <w:uiPriority w:val="99"/>
    <w:rPr>
      <w:color w:val="0000FF" w:themeColor="hyperlink"/>
      <w:u w:val="single"/>
      <w14:textFill>
        <w14:solidFill>
          <w14:schemeClr w14:val="hlink"/>
        </w14:solidFill>
      </w14:textFill>
    </w:rPr>
  </w:style>
  <w:style w:type="paragraph" w:styleId="11">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2">
    <w:name w:val="Strong"/>
    <w:basedOn w:val="4"/>
    <w:qFormat/>
    <w:uiPriority w:val="22"/>
    <w:rPr>
      <w:b/>
      <w:bCs/>
    </w:rPr>
  </w:style>
  <w:style w:type="paragraph" w:styleId="13">
    <w:name w:val="Title"/>
    <w:basedOn w:val="1"/>
    <w:next w:val="1"/>
    <w:link w:val="20"/>
    <w:qFormat/>
    <w:uiPriority w:val="10"/>
    <w:pPr>
      <w:spacing w:after="0" w:line="240" w:lineRule="auto"/>
      <w:contextualSpacing/>
    </w:pPr>
    <w:rPr>
      <w:rFonts w:asciiTheme="majorHAnsi" w:hAnsiTheme="majorHAnsi" w:eastAsiaTheme="majorEastAsia" w:cstheme="majorBidi"/>
      <w:spacing w:val="-10"/>
      <w:kern w:val="28"/>
      <w:sz w:val="56"/>
      <w:szCs w:val="56"/>
    </w:rPr>
  </w:style>
  <w:style w:type="character" w:customStyle="1" w:styleId="14">
    <w:name w:val="Heading 1 Char"/>
    <w:basedOn w:val="4"/>
    <w:link w:val="2"/>
    <w:qFormat/>
    <w:uiPriority w:val="9"/>
    <w:rPr>
      <w:rFonts w:ascii="Times New Roman" w:hAnsi="Times New Roman" w:eastAsia="Times New Roman" w:cs="Times New Roman"/>
      <w:b/>
      <w:bCs/>
      <w:kern w:val="36"/>
      <w:sz w:val="48"/>
      <w:szCs w:val="48"/>
    </w:rPr>
  </w:style>
  <w:style w:type="character" w:customStyle="1" w:styleId="15">
    <w:name w:val="Body Text Char"/>
    <w:basedOn w:val="4"/>
    <w:link w:val="7"/>
    <w:semiHidden/>
    <w:qFormat/>
    <w:uiPriority w:val="99"/>
    <w:rPr>
      <w:rFonts w:ascii="Times New Roman" w:hAnsi="Times New Roman" w:eastAsia="DejaVu Sans" w:cs="Times New Roman"/>
      <w:color w:val="00000A"/>
      <w:kern w:val="1"/>
      <w:sz w:val="24"/>
      <w:szCs w:val="24"/>
      <w:lang w:eastAsia="ar-SA"/>
    </w:rPr>
  </w:style>
  <w:style w:type="character" w:customStyle="1" w:styleId="16">
    <w:name w:val="Balloon Text Char"/>
    <w:basedOn w:val="4"/>
    <w:link w:val="6"/>
    <w:semiHidden/>
    <w:qFormat/>
    <w:uiPriority w:val="99"/>
    <w:rPr>
      <w:rFonts w:ascii="Tahoma" w:hAnsi="Tahoma" w:cs="Tahoma"/>
      <w:sz w:val="16"/>
      <w:szCs w:val="16"/>
    </w:rPr>
  </w:style>
  <w:style w:type="paragraph" w:styleId="17">
    <w:name w:val="List Paragraph"/>
    <w:basedOn w:val="1"/>
    <w:qFormat/>
    <w:uiPriority w:val="34"/>
    <w:pPr>
      <w:ind w:left="720"/>
      <w:contextualSpacing/>
    </w:pPr>
  </w:style>
  <w:style w:type="character" w:customStyle="1" w:styleId="18">
    <w:name w:val="Footer Char"/>
    <w:basedOn w:val="4"/>
    <w:link w:val="8"/>
    <w:qFormat/>
    <w:uiPriority w:val="99"/>
    <w:rPr>
      <w:rFonts w:ascii="Times New Roman" w:hAnsi="Times New Roman" w:eastAsia="Times New Roman" w:cs="Times New Roman"/>
      <w:sz w:val="24"/>
      <w:szCs w:val="24"/>
    </w:rPr>
  </w:style>
  <w:style w:type="character" w:customStyle="1" w:styleId="19">
    <w:name w:val="Header Char"/>
    <w:basedOn w:val="4"/>
    <w:link w:val="9"/>
    <w:qFormat/>
    <w:uiPriority w:val="99"/>
  </w:style>
  <w:style w:type="character" w:customStyle="1" w:styleId="20">
    <w:name w:val="Title Char"/>
    <w:basedOn w:val="4"/>
    <w:link w:val="13"/>
    <w:qFormat/>
    <w:uiPriority w:val="10"/>
    <w:rPr>
      <w:rFonts w:asciiTheme="majorHAnsi" w:hAnsiTheme="majorHAnsi" w:eastAsiaTheme="majorEastAsia" w:cstheme="majorBidi"/>
      <w:spacing w:val="-10"/>
      <w:kern w:val="28"/>
      <w:sz w:val="56"/>
      <w:szCs w:val="56"/>
    </w:rPr>
  </w:style>
  <w:style w:type="character" w:customStyle="1" w:styleId="21">
    <w:name w:val="Heading 2 Char"/>
    <w:basedOn w:val="4"/>
    <w:link w:val="3"/>
    <w:qFormat/>
    <w:uiPriority w:val="9"/>
    <w:rPr>
      <w:rFonts w:asciiTheme="majorHAnsi" w:hAnsiTheme="majorHAnsi" w:eastAsiaTheme="majorEastAsia" w:cstheme="majorBidi"/>
      <w:color w:val="376092" w:themeColor="accent1" w:themeShade="BF"/>
      <w:sz w:val="26"/>
      <w:szCs w:val="2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1102</Words>
  <Characters>6283</Characters>
  <Lines>52</Lines>
  <Paragraphs>14</Paragraphs>
  <TotalTime>12</TotalTime>
  <ScaleCrop>false</ScaleCrop>
  <LinksUpToDate>false</LinksUpToDate>
  <CharactersWithSpaces>7371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2026-03-12T14:21:00Z</dcterms:created>
  <dc:creator>Administrator</dc:creator>
  <cp:lastModifiedBy>hochieng</cp:lastModifiedBy>
  <cp:lastPrinted>2025-08-29T07:31:00Z</cp:lastPrinted>
  <dcterms:modified xsi:type="dcterms:W3CDTF">2026-04-02T09:45:15Z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1352AAECA1EB4F898FAB5B8446D645A4_12</vt:lpwstr>
  </property>
</Properties>
</file>