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Calibri" w:hAnsi="Calibri"/>
          <w:kern w:val="2"/>
          <w:sz w:val="24"/>
          <w:szCs w:val="24"/>
          <w:u w:color="000000"/>
        </w:rPr>
      </w:pPr>
      <w:r>
        <w:rPr>
          <w:rFonts w:ascii="Calibri" w:hAnsi="Calibri"/>
          <w:noProof/>
          <w:kern w:val="2"/>
          <w:sz w:val="24"/>
          <w:szCs w:val="24"/>
          <w:u w:color="000000"/>
        </w:rPr>
        <w:drawing>
          <wp:inline distT="0" distB="0" distL="0" distR="0">
            <wp:extent cx="1584960" cy="1076960"/>
            <wp:effectExtent l="0" t="0" r="0" b="0"/>
            <wp:docPr id="1073741825" name="officeArt object" descr="RU LOGO PNG"/>
            <wp:cNvGraphicFramePr/>
            <a:graphic xmlns:a="http://schemas.openxmlformats.org/drawingml/2006/main">
              <a:graphicData uri="http://schemas.openxmlformats.org/drawingml/2006/picture">
                <pic:pic xmlns:pic="http://schemas.openxmlformats.org/drawingml/2006/picture">
                  <pic:nvPicPr>
                    <pic:cNvPr id="1073741825" name="RU LOGO PNG" descr="RU LOGO PNG"/>
                    <pic:cNvPicPr>
                      <a:picLocks noChangeAspect="1"/>
                    </pic:cNvPicPr>
                  </pic:nvPicPr>
                  <pic:blipFill>
                    <a:blip r:embed="rId7">
                      <a:extLst/>
                    </a:blip>
                    <a:stretch>
                      <a:fillRect/>
                    </a:stretch>
                  </pic:blipFill>
                  <pic:spPr>
                    <a:xfrm>
                      <a:off x="0" y="0"/>
                      <a:ext cx="1584960" cy="1076960"/>
                    </a:xfrm>
                    <a:prstGeom prst="rect">
                      <a:avLst/>
                    </a:prstGeom>
                    <a:ln w="12700" cap="flat">
                      <a:noFill/>
                      <a:miter lim="400000"/>
                    </a:ln>
                    <a:effectLst/>
                  </pic:spPr>
                </pic:pic>
              </a:graphicData>
            </a:graphic>
          </wp:inline>
        </w:drawing>
      </w:r>
    </w:p>
    <w:p w:rsidR="0032733C" w:rsidRDefault="006C66FE">
      <w:pPr>
        <w:pStyle w:val="Body"/>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rPr>
          <w:rFonts w:ascii="Times New Roman" w:eastAsia="Times New Roman" w:hAnsi="Times New Roman" w:cs="Times New Roman"/>
          <w:b/>
          <w:bCs/>
          <w:kern w:val="2"/>
          <w:sz w:val="24"/>
          <w:szCs w:val="24"/>
          <w:u w:color="000000"/>
        </w:rPr>
      </w:pPr>
      <w:r>
        <w:rPr>
          <w:rFonts w:ascii="Times New Roman" w:hAnsi="Times New Roman"/>
          <w:b/>
          <w:bCs/>
          <w:kern w:val="2"/>
          <w:sz w:val="24"/>
          <w:szCs w:val="24"/>
          <w:u w:color="000000"/>
          <w:lang w:val="de-DE"/>
        </w:rPr>
        <w:t>RIARA LAW SCHOOL</w:t>
      </w:r>
    </w:p>
    <w:p w:rsidR="0032733C" w:rsidRDefault="006C66FE">
      <w:pPr>
        <w:pStyle w:val="Body"/>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jc w:val="center"/>
        <w:outlineLvl w:val="0"/>
        <w:rPr>
          <w:rFonts w:ascii="Times New Roman" w:eastAsia="Times New Roman" w:hAnsi="Times New Roman" w:cs="Times New Roman"/>
          <w:b/>
          <w:bCs/>
          <w:kern w:val="2"/>
          <w:sz w:val="24"/>
          <w:szCs w:val="24"/>
          <w:u w:color="000000"/>
        </w:rPr>
      </w:pPr>
      <w:r>
        <w:rPr>
          <w:rFonts w:ascii="Times New Roman" w:hAnsi="Times New Roman"/>
          <w:b/>
          <w:bCs/>
          <w:kern w:val="2"/>
          <w:sz w:val="24"/>
          <w:szCs w:val="24"/>
          <w:u w:color="000000"/>
        </w:rPr>
        <w:t xml:space="preserve">UNIVERSITY EXAMINATION FOR THE </w:t>
      </w:r>
      <w:r>
        <w:rPr>
          <w:rFonts w:ascii="Times New Roman" w:hAnsi="Times New Roman"/>
          <w:b/>
          <w:bCs/>
          <w:kern w:val="2"/>
          <w:sz w:val="24"/>
          <w:szCs w:val="24"/>
          <w:u w:color="000000"/>
          <w:lang w:val="de-DE"/>
        </w:rPr>
        <w:t>BACHELOR OF LAWS (LLB) DEGREE</w:t>
      </w:r>
    </w:p>
    <w:p w:rsidR="0032733C" w:rsidRDefault="006C66FE">
      <w:pPr>
        <w:pStyle w:val="Body"/>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jc w:val="center"/>
        <w:outlineLvl w:val="0"/>
        <w:rPr>
          <w:rFonts w:ascii="Times New Roman" w:eastAsia="Times New Roman" w:hAnsi="Times New Roman" w:cs="Times New Roman"/>
          <w:b/>
          <w:bCs/>
          <w:kern w:val="2"/>
          <w:sz w:val="24"/>
          <w:szCs w:val="24"/>
          <w:u w:color="000000"/>
        </w:rPr>
      </w:pPr>
      <w:r>
        <w:rPr>
          <w:rFonts w:ascii="Times New Roman" w:hAnsi="Times New Roman"/>
          <w:b/>
          <w:bCs/>
          <w:kern w:val="2"/>
          <w:sz w:val="24"/>
          <w:szCs w:val="24"/>
          <w:u w:color="000000"/>
        </w:rPr>
        <w:t>AND</w:t>
      </w:r>
    </w:p>
    <w:p w:rsidR="0032733C" w:rsidRDefault="006C66FE">
      <w:pPr>
        <w:pStyle w:val="Body"/>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jc w:val="center"/>
        <w:outlineLvl w:val="0"/>
        <w:rPr>
          <w:rFonts w:ascii="Times New Roman" w:eastAsia="Times New Roman" w:hAnsi="Times New Roman" w:cs="Times New Roman"/>
          <w:b/>
          <w:bCs/>
          <w:kern w:val="2"/>
          <w:sz w:val="24"/>
          <w:szCs w:val="24"/>
          <w:u w:color="000000"/>
        </w:rPr>
      </w:pPr>
      <w:r>
        <w:rPr>
          <w:rFonts w:ascii="Times New Roman" w:hAnsi="Times New Roman"/>
          <w:b/>
          <w:bCs/>
          <w:kern w:val="2"/>
          <w:sz w:val="24"/>
          <w:szCs w:val="24"/>
          <w:u w:color="000000"/>
        </w:rPr>
        <w:t>PRE-KENYA SCHOOL OF LAW CORE COURSES COMPLIANCE PROGRAMME</w:t>
      </w:r>
    </w:p>
    <w:p w:rsidR="0032733C" w:rsidRDefault="006C66FE">
      <w:pPr>
        <w:pStyle w:val="Body"/>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jc w:val="center"/>
        <w:outlineLvl w:val="0"/>
        <w:rPr>
          <w:rFonts w:ascii="Times New Roman" w:eastAsia="Times New Roman" w:hAnsi="Times New Roman" w:cs="Times New Roman"/>
          <w:b/>
          <w:bCs/>
          <w:kern w:val="2"/>
          <w:sz w:val="24"/>
          <w:szCs w:val="24"/>
          <w:u w:color="000000"/>
        </w:rPr>
      </w:pPr>
      <w:r>
        <w:rPr>
          <w:rFonts w:ascii="Times New Roman" w:hAnsi="Times New Roman"/>
          <w:b/>
          <w:bCs/>
          <w:kern w:val="2"/>
          <w:sz w:val="24"/>
          <w:szCs w:val="24"/>
          <w:u w:color="000000"/>
        </w:rPr>
        <w:t>JAN - APRIL 2026</w:t>
      </w:r>
    </w:p>
    <w:p w:rsidR="0032733C" w:rsidRDefault="00DA7472">
      <w:pPr>
        <w:pStyle w:val="Body"/>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jc w:val="center"/>
        <w:outlineLvl w:val="0"/>
        <w:rPr>
          <w:rFonts w:ascii="Times New Roman" w:eastAsia="Times New Roman" w:hAnsi="Times New Roman" w:cs="Times New Roman"/>
          <w:b/>
          <w:bCs/>
          <w:kern w:val="2"/>
          <w:sz w:val="24"/>
          <w:szCs w:val="24"/>
          <w:u w:color="000000"/>
        </w:rPr>
      </w:pPr>
      <w:r>
        <w:rPr>
          <w:rFonts w:ascii="Times New Roman" w:hAnsi="Times New Roman"/>
          <w:b/>
          <w:bCs/>
          <w:kern w:val="2"/>
          <w:sz w:val="24"/>
          <w:szCs w:val="24"/>
          <w:u w:color="000000"/>
        </w:rPr>
        <w:t>RBLS7312:</w:t>
      </w:r>
      <w:r w:rsidR="006C66FE">
        <w:rPr>
          <w:rFonts w:ascii="Times New Roman" w:hAnsi="Times New Roman"/>
          <w:b/>
          <w:bCs/>
          <w:kern w:val="2"/>
          <w:sz w:val="24"/>
          <w:szCs w:val="24"/>
          <w:u w:color="000000"/>
        </w:rPr>
        <w:t xml:space="preserve"> </w:t>
      </w:r>
      <w:r w:rsidR="006C66FE">
        <w:rPr>
          <w:rFonts w:ascii="Times New Roman" w:hAnsi="Times New Roman"/>
          <w:b/>
          <w:bCs/>
          <w:kern w:val="2"/>
          <w:sz w:val="24"/>
          <w:szCs w:val="24"/>
          <w:u w:color="000000"/>
        </w:rPr>
        <w:t>PUBLIC INTERNATIONAL LAW</w:t>
      </w:r>
    </w:p>
    <w:p w:rsidR="0032733C" w:rsidRDefault="006C66FE">
      <w:pPr>
        <w:pStyle w:val="Body"/>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jc w:val="center"/>
        <w:outlineLvl w:val="0"/>
        <w:rPr>
          <w:rFonts w:ascii="Times New Roman" w:eastAsia="Times New Roman" w:hAnsi="Times New Roman" w:cs="Times New Roman"/>
          <w:b/>
          <w:bCs/>
          <w:kern w:val="2"/>
          <w:sz w:val="24"/>
          <w:szCs w:val="24"/>
          <w:u w:color="000000"/>
        </w:rPr>
      </w:pPr>
      <w:r>
        <w:rPr>
          <w:rFonts w:ascii="Times New Roman" w:hAnsi="Times New Roman"/>
          <w:b/>
          <w:bCs/>
          <w:kern w:val="2"/>
          <w:sz w:val="24"/>
          <w:szCs w:val="24"/>
          <w:u w:color="000000"/>
          <w:lang w:val="de-DE"/>
        </w:rPr>
        <w:t>EXAMINER: DR</w:t>
      </w:r>
      <w:r>
        <w:rPr>
          <w:rFonts w:ascii="Times New Roman" w:hAnsi="Times New Roman"/>
          <w:b/>
          <w:bCs/>
          <w:kern w:val="2"/>
          <w:sz w:val="24"/>
          <w:szCs w:val="24"/>
          <w:u w:color="000000"/>
        </w:rPr>
        <w:t>.VICTOR LANDO</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Times New Roman" w:eastAsia="Times New Roman" w:hAnsi="Times New Roman" w:cs="Times New Roman"/>
          <w:b/>
          <w:bCs/>
          <w:kern w:val="2"/>
          <w:sz w:val="24"/>
          <w:szCs w:val="24"/>
          <w:u w:val="single" w:color="000000"/>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center"/>
        <w:rPr>
          <w:rFonts w:ascii="Times New Roman" w:eastAsia="Times New Roman" w:hAnsi="Times New Roman" w:cs="Times New Roman"/>
          <w:kern w:val="2"/>
          <w:sz w:val="24"/>
          <w:szCs w:val="24"/>
          <w:u w:color="000000"/>
        </w:rPr>
      </w:pPr>
      <w:r>
        <w:rPr>
          <w:rFonts w:ascii="Times New Roman" w:hAnsi="Times New Roman"/>
          <w:b/>
          <w:bCs/>
          <w:kern w:val="2"/>
          <w:sz w:val="24"/>
          <w:szCs w:val="24"/>
          <w:u w:val="single" w:color="000000"/>
        </w:rPr>
        <w:t>INSTRUCTIONS</w:t>
      </w:r>
    </w:p>
    <w:p w:rsidR="0032733C" w:rsidRDefault="006C66FE">
      <w:pPr>
        <w:pStyle w:val="Body"/>
        <w:numPr>
          <w:ilvl w:val="0"/>
          <w:numId w:val="2"/>
        </w:numPr>
        <w:spacing w:after="120"/>
        <w:jc w:val="both"/>
        <w:rPr>
          <w:rFonts w:ascii="Times New Roman" w:hAnsi="Times New Roman"/>
          <w:kern w:val="2"/>
          <w:sz w:val="24"/>
          <w:szCs w:val="24"/>
          <w:u w:color="000000"/>
        </w:rPr>
      </w:pPr>
      <w:r>
        <w:rPr>
          <w:rFonts w:ascii="Times New Roman" w:hAnsi="Times New Roman"/>
          <w:kern w:val="2"/>
          <w:sz w:val="24"/>
          <w:szCs w:val="24"/>
          <w:u w:color="000000"/>
        </w:rPr>
        <w:t>This is the final examination in Public International Law. You will earn 70% of your final grade from this final examination and 30% from Continuous Assessment Assignments.</w:t>
      </w:r>
    </w:p>
    <w:p w:rsidR="0032733C" w:rsidRDefault="006C66FE">
      <w:pPr>
        <w:pStyle w:val="Body"/>
        <w:numPr>
          <w:ilvl w:val="0"/>
          <w:numId w:val="2"/>
        </w:numPr>
        <w:spacing w:after="120"/>
        <w:jc w:val="both"/>
        <w:rPr>
          <w:rFonts w:ascii="Times New Roman" w:hAnsi="Times New Roman"/>
          <w:kern w:val="2"/>
          <w:sz w:val="24"/>
          <w:szCs w:val="24"/>
          <w:u w:color="000000"/>
        </w:rPr>
      </w:pPr>
      <w:r>
        <w:rPr>
          <w:rFonts w:ascii="Times New Roman" w:hAnsi="Times New Roman"/>
          <w:kern w:val="2"/>
          <w:sz w:val="24"/>
          <w:szCs w:val="24"/>
          <w:u w:color="000000"/>
        </w:rPr>
        <w:t xml:space="preserve">This examination has </w:t>
      </w:r>
      <w:r>
        <w:rPr>
          <w:rFonts w:ascii="Times New Roman" w:hAnsi="Times New Roman"/>
          <w:b/>
          <w:bCs/>
          <w:kern w:val="2"/>
          <w:sz w:val="24"/>
          <w:szCs w:val="24"/>
          <w:u w:val="single" w:color="000000"/>
        </w:rPr>
        <w:t>THREE</w:t>
      </w:r>
      <w:r>
        <w:rPr>
          <w:rFonts w:ascii="Times New Roman" w:hAnsi="Times New Roman"/>
          <w:b/>
          <w:bCs/>
          <w:kern w:val="2"/>
          <w:sz w:val="24"/>
          <w:szCs w:val="24"/>
          <w:u w:color="000000"/>
        </w:rPr>
        <w:t xml:space="preserve"> </w:t>
      </w:r>
      <w:r>
        <w:rPr>
          <w:rFonts w:ascii="Times New Roman" w:hAnsi="Times New Roman"/>
          <w:kern w:val="2"/>
          <w:sz w:val="24"/>
          <w:szCs w:val="24"/>
          <w:u w:color="000000"/>
        </w:rPr>
        <w:t xml:space="preserve">questions.  Please answer </w:t>
      </w:r>
      <w:r>
        <w:rPr>
          <w:rFonts w:ascii="Times New Roman" w:hAnsi="Times New Roman"/>
          <w:b/>
          <w:bCs/>
          <w:kern w:val="2"/>
          <w:sz w:val="24"/>
          <w:szCs w:val="24"/>
          <w:u w:val="single" w:color="000000"/>
        </w:rPr>
        <w:t>ALL</w:t>
      </w:r>
      <w:r>
        <w:rPr>
          <w:rFonts w:ascii="Times New Roman" w:hAnsi="Times New Roman"/>
          <w:b/>
          <w:bCs/>
          <w:kern w:val="2"/>
          <w:sz w:val="24"/>
          <w:szCs w:val="24"/>
          <w:u w:val="single" w:color="000000"/>
        </w:rPr>
        <w:t xml:space="preserve"> </w:t>
      </w:r>
      <w:r>
        <w:rPr>
          <w:rFonts w:ascii="Times New Roman" w:hAnsi="Times New Roman"/>
          <w:b/>
          <w:bCs/>
          <w:kern w:val="2"/>
          <w:sz w:val="24"/>
          <w:szCs w:val="24"/>
          <w:u w:val="single" w:color="000000"/>
        </w:rPr>
        <w:t>3</w:t>
      </w:r>
      <w:r>
        <w:rPr>
          <w:rFonts w:ascii="Times New Roman" w:hAnsi="Times New Roman"/>
          <w:b/>
          <w:bCs/>
          <w:kern w:val="2"/>
          <w:sz w:val="24"/>
          <w:szCs w:val="24"/>
          <w:u w:val="single" w:color="000000"/>
          <w:lang w:val="es-ES_tradnl"/>
        </w:rPr>
        <w:t xml:space="preserve"> QUESTIONS.</w:t>
      </w:r>
    </w:p>
    <w:p w:rsidR="0032733C" w:rsidRDefault="006C66FE">
      <w:pPr>
        <w:pStyle w:val="Body"/>
        <w:numPr>
          <w:ilvl w:val="0"/>
          <w:numId w:val="2"/>
        </w:numPr>
        <w:spacing w:after="120"/>
        <w:jc w:val="both"/>
        <w:rPr>
          <w:rFonts w:ascii="Times New Roman" w:hAnsi="Times New Roman"/>
          <w:kern w:val="2"/>
          <w:sz w:val="24"/>
          <w:szCs w:val="24"/>
          <w:u w:color="000000"/>
        </w:rPr>
      </w:pPr>
      <w:r>
        <w:rPr>
          <w:rFonts w:ascii="Times New Roman" w:hAnsi="Times New Roman"/>
          <w:kern w:val="2"/>
          <w:sz w:val="24"/>
          <w:szCs w:val="24"/>
          <w:u w:color="000000"/>
        </w:rPr>
        <w:t>This examinat</w:t>
      </w:r>
      <w:r>
        <w:rPr>
          <w:rFonts w:ascii="Times New Roman" w:hAnsi="Times New Roman"/>
          <w:kern w:val="2"/>
          <w:sz w:val="24"/>
          <w:szCs w:val="24"/>
          <w:u w:color="000000"/>
        </w:rPr>
        <w:t xml:space="preserve">ion has </w:t>
      </w:r>
      <w:r>
        <w:rPr>
          <w:rFonts w:ascii="Times New Roman" w:hAnsi="Times New Roman"/>
          <w:b/>
          <w:bCs/>
          <w:kern w:val="2"/>
          <w:sz w:val="24"/>
          <w:szCs w:val="24"/>
          <w:u w:color="000000"/>
        </w:rPr>
        <w:t>FIVE</w:t>
      </w:r>
      <w:r>
        <w:rPr>
          <w:rFonts w:ascii="Times New Roman" w:hAnsi="Times New Roman"/>
          <w:kern w:val="2"/>
          <w:sz w:val="24"/>
          <w:szCs w:val="24"/>
          <w:u w:color="000000"/>
        </w:rPr>
        <w:t xml:space="preserve"> pages, including this one.</w:t>
      </w:r>
    </w:p>
    <w:p w:rsidR="0032733C" w:rsidRDefault="006C66FE">
      <w:pPr>
        <w:pStyle w:val="Default"/>
        <w:numPr>
          <w:ilvl w:val="0"/>
          <w:numId w:val="3"/>
        </w:numPr>
        <w:spacing w:before="0" w:after="120" w:line="240" w:lineRule="auto"/>
        <w:jc w:val="both"/>
        <w:rPr>
          <w:rFonts w:ascii="Times New Roman" w:hAnsi="Times New Roman"/>
          <w:u w:color="000000"/>
          <w14:textOutline w14:w="12700" w14:cap="flat" w14:cmpd="sng" w14:algn="ctr">
            <w14:noFill/>
            <w14:prstDash w14:val="solid"/>
            <w14:miter w14:lim="400000"/>
          </w14:textOutline>
        </w:rPr>
      </w:pPr>
      <w:r>
        <w:rPr>
          <w:rFonts w:ascii="Times New Roman" w:hAnsi="Times New Roman"/>
          <w:u w:color="000000"/>
          <w14:textOutline w14:w="12700" w14:cap="flat" w14:cmpd="sng" w14:algn="ctr">
            <w14:noFill/>
            <w14:prstDash w14:val="solid"/>
            <w14:miter w14:lim="400000"/>
          </w14:textOutline>
        </w:rPr>
        <w:t xml:space="preserve">Time allocated for this examination is </w:t>
      </w:r>
      <w:r>
        <w:rPr>
          <w:rFonts w:ascii="Times New Roman" w:hAnsi="Times New Roman"/>
          <w:b/>
          <w:bCs/>
          <w:u w:val="single" w:color="000000"/>
          <w14:textOutline w14:w="12700" w14:cap="flat" w14:cmpd="sng" w14:algn="ctr">
            <w14:noFill/>
            <w14:prstDash w14:val="solid"/>
            <w14:miter w14:lim="400000"/>
          </w14:textOutline>
        </w:rPr>
        <w:t xml:space="preserve">TWO </w:t>
      </w:r>
      <w:r>
        <w:rPr>
          <w:rFonts w:ascii="Times New Roman" w:hAnsi="Times New Roman"/>
          <w:u w:color="000000"/>
          <w14:textOutline w14:w="12700" w14:cap="flat" w14:cmpd="sng" w14:algn="ctr">
            <w14:noFill/>
            <w14:prstDash w14:val="solid"/>
            <w14:miter w14:lim="400000"/>
          </w14:textOutline>
        </w:rPr>
        <w:t>(2) hours.  You must stop writing when time is called.</w:t>
      </w:r>
    </w:p>
    <w:p w:rsidR="0032733C" w:rsidRDefault="006C66FE">
      <w:pPr>
        <w:pStyle w:val="Default"/>
        <w:numPr>
          <w:ilvl w:val="0"/>
          <w:numId w:val="3"/>
        </w:numPr>
        <w:spacing w:before="0" w:after="120" w:line="240" w:lineRule="auto"/>
        <w:jc w:val="both"/>
        <w:rPr>
          <w:rFonts w:ascii="Times New Roman" w:hAnsi="Times New Roman"/>
          <w:u w:color="000000"/>
          <w14:textOutline w14:w="12700" w14:cap="flat" w14:cmpd="sng" w14:algn="ctr">
            <w14:noFill/>
            <w14:prstDash w14:val="solid"/>
            <w14:miter w14:lim="400000"/>
          </w14:textOutline>
        </w:rPr>
      </w:pPr>
      <w:r>
        <w:rPr>
          <w:rFonts w:ascii="Times New Roman" w:hAnsi="Times New Roman"/>
          <w:u w:color="000000"/>
          <w14:textOutline w14:w="12700" w14:cap="flat" w14:cmpd="sng" w14:algn="ctr">
            <w14:noFill/>
            <w14:prstDash w14:val="solid"/>
            <w14:miter w14:lim="400000"/>
          </w14:textOutline>
        </w:rPr>
        <w:t>Please sign th</w:t>
      </w:r>
      <w:r>
        <w:rPr>
          <w:rFonts w:ascii="Times New Roman" w:hAnsi="Times New Roman"/>
          <w:u w:color="000000"/>
          <w14:textOutline w14:w="12700" w14:cap="flat" w14:cmpd="sng" w14:algn="ctr">
            <w14:noFill/>
            <w14:prstDash w14:val="solid"/>
            <w14:miter w14:lim="400000"/>
          </w14:textOutline>
        </w:rPr>
        <w:t>e roll sheet when you turn in your answer sheet.  If you fail to sign the roll sheet, we shall have no way of establishing that you sat for this examination and your marks will not be reported.</w:t>
      </w:r>
    </w:p>
    <w:p w:rsidR="0032733C" w:rsidRDefault="006C66FE">
      <w:pPr>
        <w:pStyle w:val="Default"/>
        <w:numPr>
          <w:ilvl w:val="0"/>
          <w:numId w:val="3"/>
        </w:numPr>
        <w:spacing w:before="0" w:after="120" w:line="240" w:lineRule="auto"/>
        <w:jc w:val="both"/>
        <w:rPr>
          <w:rFonts w:ascii="Times New Roman" w:hAnsi="Times New Roman"/>
          <w:u w:color="000000"/>
          <w14:textOutline w14:w="12700" w14:cap="flat" w14:cmpd="sng" w14:algn="ctr">
            <w14:noFill/>
            <w14:prstDash w14:val="solid"/>
            <w14:miter w14:lim="400000"/>
          </w14:textOutline>
        </w:rPr>
      </w:pPr>
      <w:r>
        <w:rPr>
          <w:rFonts w:ascii="Times New Roman" w:hAnsi="Times New Roman"/>
          <w:u w:color="000000"/>
          <w14:textOutline w14:w="12700" w14:cap="flat" w14:cmpd="sng" w14:algn="ctr">
            <w14:noFill/>
            <w14:prstDash w14:val="solid"/>
            <w14:miter w14:lim="400000"/>
          </w14:textOutline>
        </w:rPr>
        <w:t xml:space="preserve">This is a </w:t>
      </w:r>
      <w:r>
        <w:rPr>
          <w:rFonts w:ascii="Times New Roman" w:hAnsi="Times New Roman"/>
          <w:b/>
          <w:bCs/>
          <w:u w:val="single" w:color="000000"/>
          <w14:textOutline w14:w="12700" w14:cap="flat" w14:cmpd="sng" w14:algn="ctr">
            <w14:noFill/>
            <w14:prstDash w14:val="solid"/>
            <w14:miter w14:lim="400000"/>
          </w14:textOutline>
        </w:rPr>
        <w:t>CLOSED BOOK</w:t>
      </w:r>
      <w:r>
        <w:rPr>
          <w:rFonts w:ascii="Times New Roman" w:hAnsi="Times New Roman"/>
          <w:u w:color="000000"/>
          <w14:textOutline w14:w="12700" w14:cap="flat" w14:cmpd="sng" w14:algn="ctr">
            <w14:noFill/>
            <w14:prstDash w14:val="solid"/>
            <w14:miter w14:lim="400000"/>
          </w14:textOutline>
        </w:rPr>
        <w:t xml:space="preserve"> examina</w:t>
      </w:r>
      <w:r>
        <w:rPr>
          <w:rFonts w:ascii="Times New Roman" w:hAnsi="Times New Roman"/>
          <w:u w:color="000000"/>
          <w14:textOutline w14:w="12700" w14:cap="flat" w14:cmpd="sng" w14:algn="ctr">
            <w14:noFill/>
            <w14:prstDash w14:val="solid"/>
            <w14:miter w14:lim="400000"/>
          </w14:textOutline>
        </w:rPr>
        <w:t xml:space="preserve">tion.  This means you are not permitted to bring ANY hard or soft materials to the examination room. You are also not allowed to access materials stored in computers, electronic gadgets or the internet.  You should not bring to the examination room any of </w:t>
      </w:r>
      <w:r>
        <w:rPr>
          <w:rFonts w:ascii="Times New Roman" w:hAnsi="Times New Roman"/>
          <w:u w:color="000000"/>
          <w14:textOutline w14:w="12700" w14:cap="flat" w14:cmpd="sng" w14:algn="ctr">
            <w14:noFill/>
            <w14:prstDash w14:val="solid"/>
            <w14:miter w14:lim="400000"/>
          </w14:textOutline>
        </w:rPr>
        <w:t>the following: cell phones, tablets, computers, statutes, notes, outlines, or books.  Neither should you bring to the examination room books or materials unrelated to this course.  If you need to have medicine or food items with you, please let the invigil</w:t>
      </w:r>
      <w:r>
        <w:rPr>
          <w:rFonts w:ascii="Times New Roman" w:hAnsi="Times New Roman"/>
          <w:u w:color="000000"/>
          <w14:textOutline w14:w="12700" w14:cap="flat" w14:cmpd="sng" w14:algn="ctr">
            <w14:noFill/>
            <w14:prstDash w14:val="solid"/>
            <w14:miter w14:lim="400000"/>
          </w14:textOutline>
        </w:rPr>
        <w:t>ator know before the examination begins.</w:t>
      </w:r>
      <w:bookmarkStart w:id="0" w:name="_GoBack"/>
      <w:bookmarkEnd w:id="0"/>
    </w:p>
    <w:p w:rsidR="0032733C" w:rsidRDefault="006C66FE">
      <w:pPr>
        <w:pStyle w:val="Body"/>
        <w:numPr>
          <w:ilvl w:val="0"/>
          <w:numId w:val="2"/>
        </w:numPr>
        <w:spacing w:after="120"/>
        <w:jc w:val="both"/>
        <w:rPr>
          <w:rFonts w:ascii="Times New Roman" w:hAnsi="Times New Roman"/>
          <w:kern w:val="2"/>
          <w:sz w:val="24"/>
          <w:szCs w:val="24"/>
          <w:u w:color="000000"/>
        </w:rPr>
      </w:pPr>
      <w:r>
        <w:rPr>
          <w:rFonts w:ascii="Times New Roman" w:hAnsi="Times New Roman"/>
          <w:kern w:val="2"/>
          <w:sz w:val="24"/>
          <w:szCs w:val="24"/>
          <w:u w:color="000000"/>
        </w:rPr>
        <w:t xml:space="preserve">This examination is governed by the </w:t>
      </w:r>
      <w:r>
        <w:rPr>
          <w:rFonts w:ascii="Times New Roman" w:hAnsi="Times New Roman"/>
          <w:b/>
          <w:bCs/>
          <w:kern w:val="2"/>
          <w:sz w:val="24"/>
          <w:szCs w:val="24"/>
          <w:u w:val="single" w:color="000000"/>
        </w:rPr>
        <w:t>Riara University Academic Honesty Regulations</w:t>
      </w:r>
      <w:r>
        <w:rPr>
          <w:rFonts w:ascii="Times New Roman" w:hAnsi="Times New Roman"/>
          <w:kern w:val="2"/>
          <w:sz w:val="24"/>
          <w:szCs w:val="24"/>
          <w:u w:color="000000"/>
        </w:rPr>
        <w:t>. Students who violate those regulations will be penalized.  St</w:t>
      </w:r>
      <w:r>
        <w:rPr>
          <w:rFonts w:ascii="Times New Roman" w:hAnsi="Times New Roman"/>
          <w:kern w:val="2"/>
          <w:sz w:val="24"/>
          <w:szCs w:val="24"/>
          <w:u w:color="000000"/>
        </w:rPr>
        <w:t>udents have an obligation to report to the course instructor any incidences of academic dishonesty compromising the integrity of this examination.</w:t>
      </w:r>
    </w:p>
    <w:p w:rsidR="0032733C" w:rsidRDefault="006C66FE">
      <w:pPr>
        <w:pStyle w:val="Body"/>
        <w:numPr>
          <w:ilvl w:val="0"/>
          <w:numId w:val="2"/>
        </w:numPr>
        <w:spacing w:after="120"/>
        <w:jc w:val="both"/>
        <w:rPr>
          <w:rFonts w:ascii="Times New Roman" w:hAnsi="Times New Roman"/>
          <w:kern w:val="2"/>
          <w:sz w:val="24"/>
          <w:szCs w:val="24"/>
          <w:u w:color="000000"/>
        </w:rPr>
      </w:pPr>
      <w:r>
        <w:rPr>
          <w:rFonts w:ascii="Times New Roman" w:hAnsi="Times New Roman"/>
          <w:kern w:val="2"/>
          <w:sz w:val="24"/>
          <w:szCs w:val="24"/>
          <w:u w:color="000000"/>
        </w:rPr>
        <w:t>Indicate your registration Number and the Title of the Exam at the top of the page. DO NOT indicate your name</w:t>
      </w:r>
      <w:r>
        <w:rPr>
          <w:rFonts w:ascii="Times New Roman" w:hAnsi="Times New Roman"/>
          <w:kern w:val="2"/>
          <w:sz w:val="24"/>
          <w:szCs w:val="24"/>
          <w:u w:color="000000"/>
        </w:rPr>
        <w:t xml:space="preserve"> on the answer script. </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p>
    <w:p w:rsidR="00DA7472" w:rsidRDefault="00DA747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ascii="Times New Roman" w:hAnsi="Times New Roman"/>
          <w:b/>
          <w:bCs/>
          <w:sz w:val="24"/>
          <w:szCs w:val="24"/>
        </w:rPr>
      </w:pPr>
    </w:p>
    <w:p w:rsidR="00DA7472" w:rsidRDefault="00DA747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ascii="Times New Roman" w:hAnsi="Times New Roman"/>
          <w:b/>
          <w:bCs/>
          <w:sz w:val="24"/>
          <w:szCs w:val="24"/>
        </w:rPr>
      </w:pPr>
    </w:p>
    <w:p w:rsidR="00DA7472" w:rsidRDefault="00DA747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ascii="Times New Roman" w:hAnsi="Times New Roman"/>
          <w:b/>
          <w:bCs/>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r>
        <w:rPr>
          <w:rFonts w:ascii="Times New Roman" w:hAnsi="Times New Roman"/>
          <w:b/>
          <w:bCs/>
          <w:sz w:val="24"/>
          <w:szCs w:val="24"/>
        </w:rPr>
        <w:t>QUESTION ONE [30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r>
        <w:rPr>
          <w:rFonts w:ascii="Times New Roman" w:hAnsi="Times New Roman"/>
          <w:b/>
          <w:bCs/>
          <w:sz w:val="24"/>
          <w:szCs w:val="24"/>
          <w:u w:val="single"/>
        </w:rPr>
        <w:t xml:space="preserve">THE VALDORIAN </w:t>
      </w:r>
      <w:r>
        <w:rPr>
          <w:rFonts w:ascii="Times New Roman" w:hAnsi="Times New Roman"/>
          <w:b/>
          <w:bCs/>
          <w:sz w:val="24"/>
          <w:szCs w:val="24"/>
          <w:u w:val="single"/>
          <w:lang w:val="de-DE"/>
        </w:rPr>
        <w:t xml:space="preserve"> AFFAIR</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 xml:space="preserve">The Republic of </w:t>
      </w:r>
      <w:r>
        <w:rPr>
          <w:rFonts w:ascii="Times New Roman" w:hAnsi="Times New Roman"/>
          <w:b/>
          <w:bCs/>
          <w:sz w:val="24"/>
          <w:szCs w:val="24"/>
          <w:lang w:val="it-IT"/>
        </w:rPr>
        <w:t>Valdoria</w:t>
      </w:r>
      <w:r>
        <w:rPr>
          <w:rFonts w:ascii="Times New Roman" w:hAnsi="Times New Roman"/>
          <w:sz w:val="24"/>
          <w:szCs w:val="24"/>
        </w:rPr>
        <w:t xml:space="preserve"> is a South American State governed by President </w:t>
      </w:r>
      <w:r>
        <w:rPr>
          <w:rFonts w:ascii="Times New Roman" w:hAnsi="Times New Roman"/>
          <w:b/>
          <w:bCs/>
          <w:sz w:val="24"/>
          <w:szCs w:val="24"/>
          <w:lang w:val="it-IT"/>
        </w:rPr>
        <w:t>Nicol</w:t>
      </w:r>
      <w:r>
        <w:rPr>
          <w:rFonts w:ascii="Times New Roman" w:hAnsi="Times New Roman"/>
          <w:b/>
          <w:bCs/>
          <w:sz w:val="24"/>
          <w:szCs w:val="24"/>
        </w:rPr>
        <w:t>á</w:t>
      </w:r>
      <w:r>
        <w:rPr>
          <w:rFonts w:ascii="Times New Roman" w:hAnsi="Times New Roman"/>
          <w:b/>
          <w:bCs/>
          <w:sz w:val="24"/>
          <w:szCs w:val="24"/>
          <w:lang w:val="pt-PT"/>
        </w:rPr>
        <w:t>s Duarte</w:t>
      </w:r>
      <w:r>
        <w:rPr>
          <w:rFonts w:ascii="Times New Roman" w:hAnsi="Times New Roman"/>
          <w:sz w:val="24"/>
          <w:szCs w:val="24"/>
        </w:rPr>
        <w:t>, whose administration has been condemned by international human rights bodies for electoral fraud, suppression of political opposition, and arbitrary detention of critics. In July 2025, the Organisation of American States (OAS) declared that Valdoria's pr</w:t>
      </w:r>
      <w:r>
        <w:rPr>
          <w:rFonts w:ascii="Times New Roman" w:hAnsi="Times New Roman"/>
          <w:sz w:val="24"/>
          <w:szCs w:val="24"/>
        </w:rPr>
        <w:t xml:space="preserve">esidential election results had been </w:t>
      </w:r>
      <w:r>
        <w:rPr>
          <w:rFonts w:ascii="Times New Roman" w:hAnsi="Times New Roman"/>
          <w:i/>
          <w:iCs/>
          <w:sz w:val="24"/>
          <w:szCs w:val="24"/>
        </w:rPr>
        <w:t>"manipulated beyond credibility"</w:t>
      </w:r>
      <w:r>
        <w:rPr>
          <w:rFonts w:ascii="Times New Roman" w:hAnsi="Times New Roman"/>
          <w:sz w:val="24"/>
          <w:szCs w:val="24"/>
        </w:rPr>
        <w:t xml:space="preserve"> and declined to certify Duarte's re-election. Duarte was nonetheless inaugurated for a third term.</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ascii="Times New Roman" w:eastAsia="Times New Roman" w:hAnsi="Times New Roman" w:cs="Times New Roman"/>
          <w:i/>
          <w:iCs/>
          <w:sz w:val="24"/>
          <w:szCs w:val="24"/>
        </w:rPr>
      </w:pPr>
      <w:r>
        <w:rPr>
          <w:rFonts w:ascii="Times New Roman" w:hAnsi="Times New Roman"/>
          <w:sz w:val="24"/>
          <w:szCs w:val="24"/>
        </w:rPr>
        <w:t xml:space="preserve">In response, the State of </w:t>
      </w:r>
      <w:r>
        <w:rPr>
          <w:rFonts w:ascii="Times New Roman" w:hAnsi="Times New Roman"/>
          <w:b/>
          <w:bCs/>
          <w:sz w:val="24"/>
          <w:szCs w:val="24"/>
          <w:lang w:val="it-IT"/>
        </w:rPr>
        <w:t>Nordavia</w:t>
      </w:r>
      <w:r>
        <w:rPr>
          <w:rFonts w:ascii="Times New Roman" w:hAnsi="Times New Roman"/>
          <w:sz w:val="24"/>
          <w:szCs w:val="24"/>
        </w:rPr>
        <w:t xml:space="preserve"> — </w:t>
      </w:r>
      <w:r>
        <w:rPr>
          <w:rFonts w:ascii="Times New Roman" w:hAnsi="Times New Roman"/>
          <w:sz w:val="24"/>
          <w:szCs w:val="24"/>
        </w:rPr>
        <w:t xml:space="preserve">a major regional power </w:t>
      </w:r>
      <w:r>
        <w:rPr>
          <w:rFonts w:ascii="Times New Roman" w:hAnsi="Times New Roman"/>
          <w:sz w:val="24"/>
          <w:szCs w:val="24"/>
        </w:rPr>
        <w:t xml:space="preserve">— </w:t>
      </w:r>
      <w:r>
        <w:rPr>
          <w:rFonts w:ascii="Times New Roman" w:hAnsi="Times New Roman"/>
          <w:sz w:val="24"/>
          <w:szCs w:val="24"/>
        </w:rPr>
        <w:t>issued an executive orde</w:t>
      </w:r>
      <w:r>
        <w:rPr>
          <w:rFonts w:ascii="Times New Roman" w:hAnsi="Times New Roman"/>
          <w:sz w:val="24"/>
          <w:szCs w:val="24"/>
        </w:rPr>
        <w:t xml:space="preserve">r freezing all Valdorian sovereign assets held in Nordavian financial institutions and designating President Duarte and 47 senior government officials as </w:t>
      </w:r>
      <w:r>
        <w:rPr>
          <w:rFonts w:ascii="Times New Roman" w:hAnsi="Times New Roman"/>
          <w:i/>
          <w:iCs/>
          <w:sz w:val="24"/>
          <w:szCs w:val="24"/>
        </w:rPr>
        <w:t>"specially designated nationals"</w:t>
      </w:r>
      <w:r>
        <w:rPr>
          <w:rFonts w:ascii="Times New Roman" w:hAnsi="Times New Roman"/>
          <w:sz w:val="24"/>
          <w:szCs w:val="24"/>
        </w:rPr>
        <w:t xml:space="preserve"> subject to asset freezes and travel bans. Nordavia additionally annou</w:t>
      </w:r>
      <w:r>
        <w:rPr>
          <w:rFonts w:ascii="Times New Roman" w:hAnsi="Times New Roman"/>
          <w:sz w:val="24"/>
          <w:szCs w:val="24"/>
        </w:rPr>
        <w:t xml:space="preserve">nced a </w:t>
      </w:r>
      <w:r>
        <w:rPr>
          <w:rFonts w:ascii="Times New Roman" w:hAnsi="Times New Roman"/>
          <w:b/>
          <w:bCs/>
          <w:sz w:val="24"/>
          <w:szCs w:val="24"/>
        </w:rPr>
        <w:t>$25 million reward</w:t>
      </w:r>
      <w:r>
        <w:rPr>
          <w:rFonts w:ascii="Times New Roman" w:hAnsi="Times New Roman"/>
          <w:sz w:val="24"/>
          <w:szCs w:val="24"/>
        </w:rPr>
        <w:t xml:space="preserve"> for information leading to the arrest and transfer of Duarte to face trial in Nordavia on charges of narco-terrorism and crimes against humanity, purporting to exercise extraterritorial criminal jurisdiction under its domestic </w:t>
      </w:r>
      <w:r>
        <w:rPr>
          <w:rFonts w:ascii="Times New Roman" w:hAnsi="Times New Roman"/>
          <w:i/>
          <w:iCs/>
          <w:sz w:val="24"/>
          <w:szCs w:val="24"/>
          <w:lang w:val="fr-FR"/>
        </w:rPr>
        <w:t>Ext</w:t>
      </w:r>
      <w:r>
        <w:rPr>
          <w:rFonts w:ascii="Times New Roman" w:hAnsi="Times New Roman"/>
          <w:i/>
          <w:iCs/>
          <w:sz w:val="24"/>
          <w:szCs w:val="24"/>
          <w:lang w:val="fr-FR"/>
        </w:rPr>
        <w:t>raterritorial Jurisdiction Act.</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ascii="Times New Roman" w:eastAsia="Times New Roman" w:hAnsi="Times New Roman" w:cs="Times New Roman"/>
          <w:i/>
          <w:iCs/>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ascii="Times New Roman" w:eastAsia="Times New Roman" w:hAnsi="Times New Roman" w:cs="Times New Roman"/>
          <w:i/>
          <w:iCs/>
          <w:sz w:val="24"/>
          <w:szCs w:val="24"/>
        </w:rPr>
      </w:pPr>
      <w:r>
        <w:rPr>
          <w:rFonts w:ascii="Times New Roman" w:hAnsi="Times New Roman"/>
          <w:sz w:val="24"/>
          <w:szCs w:val="24"/>
        </w:rPr>
        <w:t>In February 2026, Nordavian Foreign Intelligence Services together with its Special Operations Forces, conducted a clandestine military operation where they conducted surgical air strikes against Valdorian air defenses, engaged and subdued the Valdorian Pr</w:t>
      </w:r>
      <w:r>
        <w:rPr>
          <w:rFonts w:ascii="Times New Roman" w:hAnsi="Times New Roman"/>
          <w:sz w:val="24"/>
          <w:szCs w:val="24"/>
        </w:rPr>
        <w:t xml:space="preserve">esidential Guard and arrested President </w:t>
      </w:r>
      <w:r>
        <w:rPr>
          <w:rFonts w:ascii="Times New Roman" w:hAnsi="Times New Roman"/>
          <w:b/>
          <w:bCs/>
          <w:sz w:val="24"/>
          <w:szCs w:val="24"/>
          <w:lang w:val="it-IT"/>
        </w:rPr>
        <w:t>Nicol</w:t>
      </w:r>
      <w:r>
        <w:rPr>
          <w:rFonts w:ascii="Times New Roman" w:hAnsi="Times New Roman"/>
          <w:b/>
          <w:bCs/>
          <w:sz w:val="24"/>
          <w:szCs w:val="24"/>
        </w:rPr>
        <w:t>á</w:t>
      </w:r>
      <w:r>
        <w:rPr>
          <w:rFonts w:ascii="Times New Roman" w:hAnsi="Times New Roman"/>
          <w:b/>
          <w:bCs/>
          <w:sz w:val="24"/>
          <w:szCs w:val="24"/>
          <w:lang w:val="pt-PT"/>
        </w:rPr>
        <w:t>s Duarte</w:t>
      </w:r>
      <w:r>
        <w:rPr>
          <w:rFonts w:ascii="Times New Roman" w:hAnsi="Times New Roman"/>
          <w:b/>
          <w:bCs/>
          <w:sz w:val="24"/>
          <w:szCs w:val="24"/>
        </w:rPr>
        <w:t xml:space="preserve"> </w:t>
      </w:r>
      <w:r>
        <w:rPr>
          <w:rFonts w:ascii="Times New Roman" w:hAnsi="Times New Roman"/>
          <w:sz w:val="24"/>
          <w:szCs w:val="24"/>
        </w:rPr>
        <w:t xml:space="preserve">at the Presidential Palace in the capital of Valdoria. President </w:t>
      </w:r>
      <w:r>
        <w:rPr>
          <w:rFonts w:ascii="Times New Roman" w:hAnsi="Times New Roman"/>
          <w:sz w:val="24"/>
          <w:szCs w:val="24"/>
          <w:lang w:val="pt-PT"/>
        </w:rPr>
        <w:t>Duarte</w:t>
      </w:r>
      <w:r>
        <w:rPr>
          <w:rFonts w:ascii="Times New Roman" w:hAnsi="Times New Roman"/>
          <w:sz w:val="24"/>
          <w:szCs w:val="24"/>
        </w:rPr>
        <w:t xml:space="preserve"> was then airlifted aboard a Nordavian military helicopter  to Nordavia to stand trial before the Nordavian High Court  for among </w:t>
      </w:r>
      <w:r>
        <w:rPr>
          <w:rFonts w:ascii="Times New Roman" w:hAnsi="Times New Roman"/>
          <w:sz w:val="24"/>
          <w:szCs w:val="24"/>
        </w:rPr>
        <w:t>other crimes, narcotics trafficking. The Valdorian Parliament denounced the Nordavian operation and termed it a violation of state sovereignty and a breach of Nordavian obligations under international law.</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Between February and March</w:t>
      </w:r>
      <w:r>
        <w:rPr>
          <w:rFonts w:ascii="Times New Roman" w:hAnsi="Times New Roman"/>
          <w:sz w:val="24"/>
          <w:szCs w:val="24"/>
        </w:rPr>
        <w:t xml:space="preserve"> 2026, Nordavian </w:t>
      </w:r>
      <w:r>
        <w:rPr>
          <w:rFonts w:ascii="Times New Roman" w:hAnsi="Times New Roman"/>
          <w:sz w:val="24"/>
          <w:szCs w:val="24"/>
        </w:rPr>
        <w:t>I</w:t>
      </w:r>
      <w:r>
        <w:rPr>
          <w:rFonts w:ascii="Times New Roman" w:hAnsi="Times New Roman"/>
          <w:sz w:val="24"/>
          <w:szCs w:val="24"/>
          <w:lang w:val="fr-FR"/>
        </w:rPr>
        <w:t xml:space="preserve">mmigration </w:t>
      </w:r>
      <w:r>
        <w:rPr>
          <w:rFonts w:ascii="Times New Roman" w:hAnsi="Times New Roman"/>
          <w:sz w:val="24"/>
          <w:szCs w:val="24"/>
        </w:rPr>
        <w:t>Customs and E</w:t>
      </w:r>
      <w:r>
        <w:rPr>
          <w:rFonts w:ascii="Times New Roman" w:hAnsi="Times New Roman"/>
          <w:sz w:val="24"/>
          <w:szCs w:val="24"/>
          <w:lang w:val="fr-FR"/>
        </w:rPr>
        <w:t xml:space="preserve">nforcement agents </w:t>
      </w:r>
      <w:r>
        <w:rPr>
          <w:rFonts w:ascii="Times New Roman" w:hAnsi="Times New Roman"/>
          <w:sz w:val="24"/>
          <w:szCs w:val="24"/>
        </w:rPr>
        <w:t xml:space="preserve">— </w:t>
      </w:r>
      <w:r>
        <w:rPr>
          <w:rFonts w:ascii="Times New Roman" w:hAnsi="Times New Roman"/>
          <w:sz w:val="24"/>
          <w:szCs w:val="24"/>
        </w:rPr>
        <w:t xml:space="preserve">operating in coordination with the government of the neighbouring State of </w:t>
      </w:r>
      <w:r>
        <w:rPr>
          <w:rFonts w:ascii="Times New Roman" w:hAnsi="Times New Roman"/>
          <w:b/>
          <w:bCs/>
          <w:sz w:val="24"/>
          <w:szCs w:val="24"/>
        </w:rPr>
        <w:t>Temuria</w:t>
      </w:r>
      <w:r>
        <w:rPr>
          <w:rFonts w:ascii="Times New Roman" w:hAnsi="Times New Roman"/>
          <w:sz w:val="24"/>
          <w:szCs w:val="24"/>
        </w:rPr>
        <w:t xml:space="preserve"> — </w:t>
      </w:r>
      <w:r>
        <w:rPr>
          <w:rFonts w:ascii="Times New Roman" w:hAnsi="Times New Roman"/>
          <w:sz w:val="24"/>
          <w:szCs w:val="24"/>
        </w:rPr>
        <w:t>arrested 380 Valdorian nationals residing in Temuria and transported them aboard military charter flights to a detention facili</w:t>
      </w:r>
      <w:r>
        <w:rPr>
          <w:rFonts w:ascii="Times New Roman" w:hAnsi="Times New Roman"/>
          <w:sz w:val="24"/>
          <w:szCs w:val="24"/>
        </w:rPr>
        <w:t xml:space="preserve">ty located on </w:t>
      </w:r>
      <w:r>
        <w:rPr>
          <w:rFonts w:ascii="Times New Roman" w:hAnsi="Times New Roman"/>
          <w:b/>
          <w:bCs/>
          <w:sz w:val="24"/>
          <w:szCs w:val="24"/>
        </w:rPr>
        <w:t>Bahia Island</w:t>
      </w:r>
      <w:r>
        <w:rPr>
          <w:rFonts w:ascii="Times New Roman" w:hAnsi="Times New Roman"/>
          <w:sz w:val="24"/>
          <w:szCs w:val="24"/>
        </w:rPr>
        <w:t>, a territory under Temurian sovereignty but leased to Nordavia for military purposes since 1975. The detainees were held without charge, without access to legal counsel, and without judicial oversight. Nordavia described the deta</w:t>
      </w:r>
      <w:r>
        <w:rPr>
          <w:rFonts w:ascii="Times New Roman" w:hAnsi="Times New Roman"/>
          <w:sz w:val="24"/>
          <w:szCs w:val="24"/>
        </w:rPr>
        <w:t xml:space="preserve">inees collectively as </w:t>
      </w:r>
      <w:r>
        <w:rPr>
          <w:rFonts w:ascii="Times New Roman" w:hAnsi="Times New Roman"/>
          <w:i/>
          <w:iCs/>
          <w:sz w:val="24"/>
          <w:szCs w:val="24"/>
        </w:rPr>
        <w:t>"alien enemies"</w:t>
      </w:r>
      <w:r>
        <w:rPr>
          <w:rFonts w:ascii="Times New Roman" w:hAnsi="Times New Roman"/>
          <w:sz w:val="24"/>
          <w:szCs w:val="24"/>
        </w:rPr>
        <w:t xml:space="preserve"> and members of a designated criminal organisation. Temuria's own courts had issued an emergency injunction prohibiting the deportation flights; the Temurian executive ignored the order and the flights proceeded.Valdori</w:t>
      </w:r>
      <w:r>
        <w:rPr>
          <w:rFonts w:ascii="Times New Roman" w:hAnsi="Times New Roman"/>
          <w:sz w:val="24"/>
          <w:szCs w:val="24"/>
        </w:rPr>
        <w:t xml:space="preserve">a formally protested to both States and to the United Nations. Nordavia responded that its actions constituted lawful countermeasures against Valdoria's internationally wrongful conduct and that, in any event, all acts were carried out on Temurian </w:t>
      </w:r>
      <w:r>
        <w:rPr>
          <w:rFonts w:ascii="Times New Roman" w:hAnsi="Times New Roman"/>
          <w:sz w:val="24"/>
          <w:szCs w:val="24"/>
        </w:rPr>
        <w:t xml:space="preserve">— </w:t>
      </w:r>
      <w:r>
        <w:rPr>
          <w:rFonts w:ascii="Times New Roman" w:hAnsi="Times New Roman"/>
          <w:sz w:val="24"/>
          <w:szCs w:val="24"/>
        </w:rPr>
        <w:t xml:space="preserve">not Nordavian </w:t>
      </w:r>
      <w:r>
        <w:rPr>
          <w:rFonts w:ascii="Times New Roman" w:hAnsi="Times New Roman"/>
          <w:sz w:val="24"/>
          <w:szCs w:val="24"/>
        </w:rPr>
        <w:t xml:space="preserve">— </w:t>
      </w:r>
      <w:r>
        <w:rPr>
          <w:rFonts w:ascii="Times New Roman" w:hAnsi="Times New Roman"/>
          <w:sz w:val="24"/>
          <w:szCs w:val="24"/>
          <w:lang w:val="it-IT"/>
        </w:rPr>
        <w:t>territory.</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ascii="Times New Roman" w:eastAsia="Times New Roman" w:hAnsi="Times New Roman" w:cs="Times New Roman"/>
          <w:b/>
          <w:bCs/>
          <w:sz w:val="24"/>
          <w:szCs w:val="24"/>
        </w:rPr>
      </w:pPr>
      <w:r>
        <w:rPr>
          <w:rFonts w:ascii="Times New Roman" w:hAnsi="Times New Roman"/>
          <w:b/>
          <w:bCs/>
          <w:sz w:val="24"/>
          <w:szCs w:val="24"/>
        </w:rPr>
        <w:lastRenderedPageBreak/>
        <w:t>With reference to relevant</w:t>
      </w:r>
      <w:r>
        <w:rPr>
          <w:rFonts w:ascii="Times New Roman" w:hAnsi="Times New Roman"/>
          <w:b/>
          <w:bCs/>
          <w:sz w:val="24"/>
          <w:szCs w:val="24"/>
        </w:rPr>
        <w:t xml:space="preserve"> </w:t>
      </w:r>
      <w:r>
        <w:rPr>
          <w:rFonts w:ascii="Times New Roman" w:hAnsi="Times New Roman"/>
          <w:b/>
          <w:bCs/>
          <w:sz w:val="24"/>
          <w:szCs w:val="24"/>
        </w:rPr>
        <w:t>principles of International Law and decided cases, advise Valdoria on among others:</w:t>
      </w:r>
    </w:p>
    <w:p w:rsidR="0032733C" w:rsidRDefault="006C66FE" w:rsidP="00DA7472">
      <w:pPr>
        <w:pStyle w:val="Body"/>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ascii="Times New Roman" w:eastAsia="Times New Roman" w:hAnsi="Times New Roman" w:cs="Times New Roman"/>
          <w:sz w:val="24"/>
          <w:szCs w:val="24"/>
        </w:rPr>
      </w:pPr>
      <w:r>
        <w:rPr>
          <w:rFonts w:ascii="Times New Roman" w:hAnsi="Times New Roman"/>
          <w:sz w:val="24"/>
          <w:szCs w:val="24"/>
        </w:rPr>
        <w:t>The International responsibility of Temuria and Nordavia respectively arising from their participation in the depor</w:t>
      </w:r>
      <w:r>
        <w:rPr>
          <w:rFonts w:ascii="Times New Roman" w:hAnsi="Times New Roman"/>
          <w:sz w:val="24"/>
          <w:szCs w:val="24"/>
        </w:rPr>
        <w:t xml:space="preserve">tation operation of Valdorian nationals. </w:t>
      </w:r>
      <w:r>
        <w:rPr>
          <w:rFonts w:ascii="Times New Roman" w:hAnsi="Times New Roman"/>
          <w:b/>
          <w:bCs/>
          <w:sz w:val="24"/>
          <w:szCs w:val="24"/>
        </w:rPr>
        <w:t>(8</w:t>
      </w:r>
      <w:r w:rsidR="00DA7472">
        <w:rPr>
          <w:rFonts w:ascii="Times New Roman" w:hAnsi="Times New Roman"/>
          <w:b/>
          <w:bCs/>
          <w:sz w:val="24"/>
          <w:szCs w:val="24"/>
        </w:rPr>
        <w:t xml:space="preserve"> </w:t>
      </w:r>
      <w:r>
        <w:rPr>
          <w:rFonts w:ascii="Times New Roman" w:hAnsi="Times New Roman"/>
          <w:b/>
          <w:bCs/>
          <w:sz w:val="24"/>
          <w:szCs w:val="24"/>
        </w:rPr>
        <w:t>marks)</w:t>
      </w:r>
    </w:p>
    <w:p w:rsidR="0032733C" w:rsidRDefault="006C66FE" w:rsidP="00DA7472">
      <w:pPr>
        <w:pStyle w:val="Body"/>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ascii="Times New Roman" w:eastAsia="Times New Roman" w:hAnsi="Times New Roman" w:cs="Times New Roman"/>
          <w:sz w:val="24"/>
          <w:szCs w:val="24"/>
        </w:rPr>
      </w:pPr>
      <w:r>
        <w:rPr>
          <w:rFonts w:ascii="Times New Roman" w:hAnsi="Times New Roman"/>
          <w:sz w:val="24"/>
          <w:szCs w:val="24"/>
        </w:rPr>
        <w:t xml:space="preserve">The International responsibility of Nordavia for the clandestine military operation and the kidnapping and arrest of the Valdorian President. </w:t>
      </w:r>
      <w:r>
        <w:rPr>
          <w:rFonts w:ascii="Times New Roman" w:hAnsi="Times New Roman"/>
          <w:b/>
          <w:bCs/>
          <w:sz w:val="24"/>
          <w:szCs w:val="24"/>
        </w:rPr>
        <w:t>(8 marks)</w:t>
      </w:r>
    </w:p>
    <w:p w:rsidR="0032733C" w:rsidRDefault="006C66FE" w:rsidP="00DA7472">
      <w:pPr>
        <w:pStyle w:val="Body"/>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ascii="Times New Roman" w:eastAsia="Times New Roman" w:hAnsi="Times New Roman" w:cs="Times New Roman"/>
          <w:sz w:val="24"/>
          <w:szCs w:val="24"/>
        </w:rPr>
      </w:pPr>
      <w:r>
        <w:rPr>
          <w:rFonts w:ascii="Times New Roman" w:hAnsi="Times New Roman"/>
          <w:sz w:val="24"/>
          <w:szCs w:val="24"/>
        </w:rPr>
        <w:t xml:space="preserve">Whether President </w:t>
      </w:r>
      <w:r>
        <w:rPr>
          <w:rFonts w:ascii="Times New Roman" w:hAnsi="Times New Roman"/>
          <w:b/>
          <w:bCs/>
          <w:sz w:val="24"/>
          <w:szCs w:val="24"/>
          <w:lang w:val="it-IT"/>
        </w:rPr>
        <w:t>Nicol</w:t>
      </w:r>
      <w:r>
        <w:rPr>
          <w:rFonts w:ascii="Times New Roman" w:hAnsi="Times New Roman"/>
          <w:b/>
          <w:bCs/>
          <w:sz w:val="24"/>
          <w:szCs w:val="24"/>
        </w:rPr>
        <w:t>á</w:t>
      </w:r>
      <w:r>
        <w:rPr>
          <w:rFonts w:ascii="Times New Roman" w:hAnsi="Times New Roman"/>
          <w:b/>
          <w:bCs/>
          <w:sz w:val="24"/>
          <w:szCs w:val="24"/>
          <w:lang w:val="pt-PT"/>
        </w:rPr>
        <w:t>s Duarte</w:t>
      </w:r>
      <w:r>
        <w:rPr>
          <w:rFonts w:ascii="Times New Roman" w:hAnsi="Times New Roman"/>
          <w:b/>
          <w:bCs/>
          <w:sz w:val="24"/>
          <w:szCs w:val="24"/>
        </w:rPr>
        <w:t xml:space="preserve"> </w:t>
      </w:r>
      <w:r>
        <w:rPr>
          <w:rFonts w:ascii="Times New Roman" w:hAnsi="Times New Roman"/>
          <w:sz w:val="24"/>
          <w:szCs w:val="24"/>
        </w:rPr>
        <w:t>can be tried wi</w:t>
      </w:r>
      <w:r>
        <w:rPr>
          <w:rFonts w:ascii="Times New Roman" w:hAnsi="Times New Roman"/>
          <w:sz w:val="24"/>
          <w:szCs w:val="24"/>
        </w:rPr>
        <w:t xml:space="preserve">thin Nordavian domestic Courts </w:t>
      </w:r>
      <w:r>
        <w:rPr>
          <w:rFonts w:ascii="Times New Roman" w:hAnsi="Times New Roman"/>
          <w:b/>
          <w:bCs/>
          <w:sz w:val="24"/>
          <w:szCs w:val="24"/>
        </w:rPr>
        <w:t>(6 marks)</w:t>
      </w:r>
    </w:p>
    <w:p w:rsidR="0032733C" w:rsidRDefault="006C66FE" w:rsidP="00DA7472">
      <w:pPr>
        <w:pStyle w:val="Body"/>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 xml:space="preserve">Recommended actions for Valdoria under international Law in response to the military invasion and the deportation of its nationals </w:t>
      </w:r>
      <w:r>
        <w:rPr>
          <w:rFonts w:ascii="Times New Roman" w:hAnsi="Times New Roman"/>
          <w:b/>
          <w:bCs/>
          <w:sz w:val="24"/>
          <w:szCs w:val="24"/>
        </w:rPr>
        <w:t>(8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b/>
          <w:bCs/>
          <w:sz w:val="24"/>
          <w:szCs w:val="24"/>
        </w:rPr>
        <w:t xml:space="preserve">QUESTION </w:t>
      </w:r>
      <w:r w:rsidR="00DA7472">
        <w:rPr>
          <w:rFonts w:ascii="Times New Roman" w:hAnsi="Times New Roman"/>
          <w:b/>
          <w:bCs/>
          <w:sz w:val="24"/>
          <w:szCs w:val="24"/>
        </w:rPr>
        <w:t>TWO [</w:t>
      </w:r>
      <w:r>
        <w:rPr>
          <w:rFonts w:ascii="Times New Roman" w:hAnsi="Times New Roman"/>
          <w:b/>
          <w:bCs/>
          <w:sz w:val="24"/>
          <w:szCs w:val="24"/>
        </w:rPr>
        <w:t>20 MARKS]</w:t>
      </w: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i/>
          <w:iCs/>
          <w:sz w:val="24"/>
          <w:szCs w:val="24"/>
        </w:rPr>
        <w:t>"Statehood in international law is not merel</w:t>
      </w:r>
      <w:r>
        <w:rPr>
          <w:rFonts w:ascii="Times New Roman" w:hAnsi="Times New Roman"/>
          <w:i/>
          <w:iCs/>
          <w:sz w:val="24"/>
          <w:szCs w:val="24"/>
        </w:rPr>
        <w:t>y a legal concept but a political reality; the criteria under the Montevideo Convention represent a threshold that many entities on the world stage struggle to meet, yet continue to function as quasi-States in the international order."</w:t>
      </w: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 xml:space="preserve">(Adapted from: Malcolm Shaw, </w:t>
      </w:r>
      <w:r>
        <w:rPr>
          <w:rFonts w:ascii="Times New Roman" w:hAnsi="Times New Roman"/>
          <w:i/>
          <w:iCs/>
          <w:sz w:val="24"/>
          <w:szCs w:val="24"/>
        </w:rPr>
        <w:t>International Law</w:t>
      </w:r>
      <w:r>
        <w:rPr>
          <w:rFonts w:ascii="Times New Roman" w:hAnsi="Times New Roman"/>
          <w:sz w:val="24"/>
          <w:szCs w:val="24"/>
        </w:rPr>
        <w:t>, 9th Edition, Cambridge University Press, 2021)</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rsidP="00DA7472">
      <w:pPr>
        <w:pStyle w:val="Body"/>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With reference to the Montevideo Convention on the Rights and Duties of States, 1933, critically examine the criteria for Statehood under international law</w:t>
      </w:r>
      <w:r>
        <w:rPr>
          <w:rFonts w:ascii="Times New Roman" w:hAnsi="Times New Roman"/>
          <w:sz w:val="24"/>
          <w:szCs w:val="24"/>
        </w:rPr>
        <w:t xml:space="preserve">. In your answer, discuss the extent to which each criterion has been consistently applied in practice, illustrating your answer with reference to at least </w:t>
      </w:r>
      <w:r>
        <w:rPr>
          <w:rFonts w:ascii="Times New Roman" w:hAnsi="Times New Roman"/>
          <w:b/>
          <w:bCs/>
          <w:sz w:val="24"/>
          <w:szCs w:val="24"/>
        </w:rPr>
        <w:t>three contested cases</w:t>
      </w:r>
      <w:r>
        <w:rPr>
          <w:rFonts w:ascii="Times New Roman" w:hAnsi="Times New Roman"/>
          <w:sz w:val="24"/>
          <w:szCs w:val="24"/>
        </w:rPr>
        <w:t xml:space="preserve"> of Statehood (e.g., Kosovo, Palestine, and Taiwan).  </w:t>
      </w:r>
      <w:r w:rsidR="00DA7472">
        <w:rPr>
          <w:rFonts w:ascii="Times New Roman" w:hAnsi="Times New Roman"/>
          <w:sz w:val="24"/>
          <w:szCs w:val="24"/>
        </w:rPr>
        <w:tab/>
      </w:r>
      <w:r>
        <w:rPr>
          <w:rFonts w:ascii="Times New Roman" w:hAnsi="Times New Roman"/>
          <w:b/>
          <w:bCs/>
          <w:sz w:val="24"/>
          <w:szCs w:val="24"/>
          <w:lang w:val="da-DK"/>
        </w:rPr>
        <w:t>(8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rsidP="00DA7472">
      <w:pPr>
        <w:pStyle w:val="Body"/>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Explain t</w:t>
      </w:r>
      <w:r>
        <w:rPr>
          <w:rFonts w:ascii="Times New Roman" w:hAnsi="Times New Roman"/>
          <w:sz w:val="24"/>
          <w:szCs w:val="24"/>
        </w:rPr>
        <w:t xml:space="preserve">he doctrine of recognition in international law and distinguish between the </w:t>
      </w:r>
      <w:r>
        <w:rPr>
          <w:rFonts w:ascii="Times New Roman" w:hAnsi="Times New Roman"/>
          <w:i/>
          <w:iCs/>
          <w:sz w:val="24"/>
          <w:szCs w:val="24"/>
          <w:lang w:val="fr-FR"/>
        </w:rPr>
        <w:t>constitutive</w:t>
      </w:r>
      <w:r>
        <w:rPr>
          <w:rFonts w:ascii="Times New Roman" w:hAnsi="Times New Roman"/>
          <w:sz w:val="24"/>
          <w:szCs w:val="24"/>
        </w:rPr>
        <w:t xml:space="preserve"> and </w:t>
      </w:r>
      <w:r>
        <w:rPr>
          <w:rFonts w:ascii="Times New Roman" w:hAnsi="Times New Roman"/>
          <w:i/>
          <w:iCs/>
          <w:sz w:val="24"/>
          <w:szCs w:val="24"/>
        </w:rPr>
        <w:t>declaratory</w:t>
      </w:r>
      <w:r>
        <w:rPr>
          <w:rFonts w:ascii="Times New Roman" w:hAnsi="Times New Roman"/>
          <w:sz w:val="24"/>
          <w:szCs w:val="24"/>
        </w:rPr>
        <w:t xml:space="preserve"> theories of recognition. Assess which theory best reflects contemporary State and international organisational practice, with reference to relevant aut</w:t>
      </w:r>
      <w:r>
        <w:rPr>
          <w:rFonts w:ascii="Times New Roman" w:hAnsi="Times New Roman"/>
          <w:sz w:val="24"/>
          <w:szCs w:val="24"/>
        </w:rPr>
        <w:t xml:space="preserve">horities.  </w:t>
      </w:r>
      <w:r>
        <w:rPr>
          <w:rFonts w:ascii="Times New Roman" w:hAnsi="Times New Roman"/>
          <w:b/>
          <w:bCs/>
          <w:sz w:val="24"/>
          <w:szCs w:val="24"/>
          <w:lang w:val="da-DK"/>
        </w:rPr>
        <w:t>(8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rsidP="00DA7472">
      <w:pPr>
        <w:pStyle w:val="Body"/>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 xml:space="preserve">Briefly discuss the legal implications that arise for a State under international law where it extends recognition to an entity whose Statehood is disputed by other members of the international community.  </w:t>
      </w:r>
      <w:r>
        <w:rPr>
          <w:rFonts w:ascii="Times New Roman" w:hAnsi="Times New Roman"/>
          <w:b/>
          <w:bCs/>
          <w:sz w:val="24"/>
          <w:szCs w:val="24"/>
          <w:lang w:val="da-DK"/>
        </w:rPr>
        <w:t>(4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r>
        <w:rPr>
          <w:rFonts w:ascii="Times New Roman" w:hAnsi="Times New Roman"/>
          <w:b/>
          <w:bCs/>
          <w:sz w:val="24"/>
          <w:szCs w:val="24"/>
        </w:rPr>
        <w:t>QUESTION THREE [20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p>
    <w:p w:rsidR="0032733C" w:rsidRDefault="006C66FE">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i/>
          <w:iCs/>
          <w:sz w:val="24"/>
          <w:szCs w:val="24"/>
        </w:rPr>
        <w:t>"The doctrine of Sovereign immunity, once regarded as near-absolute, has undergone a fundamental transformation in international law.</w:t>
      </w:r>
      <w:r>
        <w:rPr>
          <w:rFonts w:ascii="Times New Roman" w:hAnsi="Times New Roman"/>
          <w:i/>
          <w:iCs/>
          <w:sz w:val="24"/>
          <w:szCs w:val="24"/>
        </w:rPr>
        <w:t xml:space="preserve">” </w:t>
      </w:r>
      <w:r>
        <w:rPr>
          <w:rFonts w:ascii="Times New Roman" w:hAnsi="Times New Roman"/>
          <w:sz w:val="24"/>
          <w:szCs w:val="24"/>
        </w:rPr>
        <w:t xml:space="preserve">(Adapted from: Hazel Fox &amp; Philippa Webb, </w:t>
      </w:r>
      <w:r>
        <w:rPr>
          <w:rFonts w:ascii="Times New Roman" w:hAnsi="Times New Roman"/>
          <w:i/>
          <w:iCs/>
          <w:sz w:val="24"/>
          <w:szCs w:val="24"/>
        </w:rPr>
        <w:t>The Law of State Immunity</w:t>
      </w:r>
      <w:r>
        <w:rPr>
          <w:rFonts w:ascii="Times New Roman" w:hAnsi="Times New Roman"/>
          <w:sz w:val="24"/>
          <w:szCs w:val="24"/>
        </w:rPr>
        <w:t>, 3rd Edition, Oxford Unive</w:t>
      </w:r>
      <w:r>
        <w:rPr>
          <w:rFonts w:ascii="Times New Roman" w:hAnsi="Times New Roman"/>
          <w:sz w:val="24"/>
          <w:szCs w:val="24"/>
        </w:rPr>
        <w:t>rsity Press, 2015)</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rsidP="00DA7472">
      <w:pPr>
        <w:pStyle w:val="Body"/>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 xml:space="preserve">Trace the evolution of the doctrine of State immunity from absolute immunity to the restrictive theory. In your answer, explain the distinction between </w:t>
      </w:r>
      <w:r>
        <w:rPr>
          <w:rFonts w:ascii="Times New Roman" w:hAnsi="Times New Roman"/>
          <w:i/>
          <w:iCs/>
          <w:sz w:val="24"/>
          <w:szCs w:val="24"/>
        </w:rPr>
        <w:t>acta jure imperii</w:t>
      </w:r>
      <w:r>
        <w:rPr>
          <w:rFonts w:ascii="Times New Roman" w:hAnsi="Times New Roman"/>
          <w:sz w:val="24"/>
          <w:szCs w:val="24"/>
        </w:rPr>
        <w:t xml:space="preserve"> and </w:t>
      </w:r>
      <w:r>
        <w:rPr>
          <w:rFonts w:ascii="Times New Roman" w:hAnsi="Times New Roman"/>
          <w:i/>
          <w:iCs/>
          <w:sz w:val="24"/>
          <w:szCs w:val="24"/>
          <w:lang w:val="pt-PT"/>
        </w:rPr>
        <w:t>acta jure gestionis</w:t>
      </w:r>
      <w:r>
        <w:rPr>
          <w:rFonts w:ascii="Times New Roman" w:hAnsi="Times New Roman"/>
          <w:sz w:val="24"/>
          <w:szCs w:val="24"/>
        </w:rPr>
        <w:t xml:space="preserve"> and its significance under the UN Con</w:t>
      </w:r>
      <w:r>
        <w:rPr>
          <w:rFonts w:ascii="Times New Roman" w:hAnsi="Times New Roman"/>
          <w:sz w:val="24"/>
          <w:szCs w:val="24"/>
        </w:rPr>
        <w:t xml:space="preserve">vention on Jurisdictional Immunities of States and Their Property, 2004.  </w:t>
      </w:r>
      <w:r>
        <w:rPr>
          <w:rFonts w:ascii="Times New Roman" w:hAnsi="Times New Roman"/>
          <w:b/>
          <w:bCs/>
          <w:sz w:val="24"/>
          <w:szCs w:val="24"/>
          <w:lang w:val="da-DK"/>
        </w:rPr>
        <w:t>(8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rsidP="00DA7472">
      <w:pPr>
        <w:pStyle w:val="Body"/>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Critically examine the tension between State immunity and the enforcement of peremptory norms (</w:t>
      </w:r>
      <w:r>
        <w:rPr>
          <w:rFonts w:ascii="Times New Roman" w:hAnsi="Times New Roman"/>
          <w:i/>
          <w:iCs/>
          <w:sz w:val="24"/>
          <w:szCs w:val="24"/>
          <w:lang w:val="es-ES_tradnl"/>
        </w:rPr>
        <w:t>jus cogens</w:t>
      </w:r>
      <w:r>
        <w:rPr>
          <w:rFonts w:ascii="Times New Roman" w:hAnsi="Times New Roman"/>
          <w:sz w:val="24"/>
          <w:szCs w:val="24"/>
        </w:rPr>
        <w:t xml:space="preserve">) with reference to the ICJ judgment in </w:t>
      </w:r>
      <w:r>
        <w:rPr>
          <w:rFonts w:ascii="Times New Roman" w:hAnsi="Times New Roman"/>
          <w:i/>
          <w:iCs/>
          <w:sz w:val="24"/>
          <w:szCs w:val="24"/>
        </w:rPr>
        <w:t xml:space="preserve">Jurisdictional </w:t>
      </w:r>
      <w:r>
        <w:rPr>
          <w:rFonts w:ascii="Times New Roman" w:hAnsi="Times New Roman"/>
          <w:i/>
          <w:iCs/>
          <w:sz w:val="24"/>
          <w:szCs w:val="24"/>
        </w:rPr>
        <w:t>Immunities of the State (Germany v Italy: Greece Intervening), 2012</w:t>
      </w:r>
      <w:r>
        <w:rPr>
          <w:rFonts w:ascii="Times New Roman" w:hAnsi="Times New Roman"/>
          <w:sz w:val="24"/>
          <w:szCs w:val="24"/>
        </w:rPr>
        <w:t xml:space="preserve">. Justify your position with reference to relevant doctrine and State practice.  </w:t>
      </w:r>
      <w:r>
        <w:rPr>
          <w:rFonts w:ascii="Times New Roman" w:hAnsi="Times New Roman"/>
          <w:b/>
          <w:bCs/>
          <w:sz w:val="24"/>
          <w:szCs w:val="24"/>
          <w:lang w:val="da-DK"/>
        </w:rPr>
        <w:t>(8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p>
    <w:p w:rsidR="0032733C" w:rsidRDefault="006C66FE" w:rsidP="00DA7472">
      <w:pPr>
        <w:pStyle w:val="Body"/>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jc w:val="both"/>
        <w:rPr>
          <w:rFonts w:hint="eastAsia"/>
          <w:sz w:val="24"/>
          <w:szCs w:val="24"/>
        </w:rPr>
      </w:pPr>
      <w:r>
        <w:rPr>
          <w:rFonts w:ascii="Times New Roman" w:hAnsi="Times New Roman"/>
          <w:sz w:val="24"/>
          <w:szCs w:val="24"/>
        </w:rPr>
        <w:t xml:space="preserve">With reference to </w:t>
      </w:r>
      <w:r>
        <w:rPr>
          <w:rFonts w:ascii="Times New Roman" w:hAnsi="Times New Roman"/>
          <w:i/>
          <w:iCs/>
          <w:sz w:val="24"/>
          <w:szCs w:val="24"/>
          <w:lang w:val="it-IT"/>
        </w:rPr>
        <w:t>R v Bow Street Metropolitan Stipendiary Magistrate, ex parte Pinochet Ugar</w:t>
      </w:r>
      <w:r>
        <w:rPr>
          <w:rFonts w:ascii="Times New Roman" w:hAnsi="Times New Roman"/>
          <w:i/>
          <w:iCs/>
          <w:sz w:val="24"/>
          <w:szCs w:val="24"/>
          <w:lang w:val="it-IT"/>
        </w:rPr>
        <w:t>te (No. 3) [1999]</w:t>
      </w:r>
      <w:r>
        <w:rPr>
          <w:rFonts w:ascii="Times New Roman" w:hAnsi="Times New Roman"/>
          <w:sz w:val="24"/>
          <w:szCs w:val="24"/>
        </w:rPr>
        <w:t xml:space="preserve">, briefly distinguish between the immunity of the State and the immunity of State officials, and discuss the implications of that decision for international criminal accountability.  </w:t>
      </w:r>
      <w:r>
        <w:rPr>
          <w:rFonts w:ascii="Times New Roman" w:hAnsi="Times New Roman"/>
          <w:b/>
          <w:bCs/>
          <w:sz w:val="24"/>
          <w:szCs w:val="24"/>
          <w:lang w:val="da-DK"/>
        </w:rPr>
        <w:t>(4 marks)</w:t>
      </w: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sz w:val="24"/>
          <w:szCs w:val="24"/>
        </w:rPr>
      </w:pPr>
    </w:p>
    <w:p w:rsidR="0032733C" w:rsidRDefault="0032733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hint="eastAsia"/>
        </w:rPr>
      </w:pPr>
    </w:p>
    <w:sectPr w:rsidR="0032733C">
      <w:footerReference w:type="default" r:id="rId8"/>
      <w:pgSz w:w="11900" w:h="16840"/>
      <w:pgMar w:top="1080" w:right="1080" w:bottom="1080" w:left="108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6FE" w:rsidRDefault="006C66FE">
      <w:r>
        <w:separator/>
      </w:r>
    </w:p>
  </w:endnote>
  <w:endnote w:type="continuationSeparator" w:id="0">
    <w:p w:rsidR="006C66FE" w:rsidRDefault="006C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77335"/>
      <w:docPartObj>
        <w:docPartGallery w:val="Page Numbers (Bottom of Page)"/>
        <w:docPartUnique/>
      </w:docPartObj>
    </w:sdtPr>
    <w:sdtContent>
      <w:sdt>
        <w:sdtPr>
          <w:id w:val="1728636285"/>
          <w:docPartObj>
            <w:docPartGallery w:val="Page Numbers (Top of Page)"/>
            <w:docPartUnique/>
          </w:docPartObj>
        </w:sdtPr>
        <w:sdtContent>
          <w:p w:rsidR="00DA7472" w:rsidRDefault="00DA7472">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4</w:t>
            </w:r>
            <w:r>
              <w:rPr>
                <w:b/>
                <w:bCs/>
              </w:rPr>
              <w:fldChar w:fldCharType="end"/>
            </w:r>
          </w:p>
        </w:sdtContent>
      </w:sdt>
    </w:sdtContent>
  </w:sdt>
  <w:p w:rsidR="0032733C" w:rsidRDefault="0032733C">
    <w:pPr>
      <w:pStyle w:val="Header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6FE" w:rsidRDefault="006C66FE">
      <w:r>
        <w:separator/>
      </w:r>
    </w:p>
  </w:footnote>
  <w:footnote w:type="continuationSeparator" w:id="0">
    <w:p w:rsidR="006C66FE" w:rsidRDefault="006C66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2D3909"/>
    <w:multiLevelType w:val="hybridMultilevel"/>
    <w:tmpl w:val="E92C045A"/>
    <w:numStyleLink w:val="ImportedStyle1"/>
  </w:abstractNum>
  <w:abstractNum w:abstractNumId="1">
    <w:nsid w:val="2EEE2F7C"/>
    <w:multiLevelType w:val="hybridMultilevel"/>
    <w:tmpl w:val="E92C045A"/>
    <w:styleLink w:val="ImportedStyle1"/>
    <w:lvl w:ilvl="0" w:tplc="5D4A57A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A0CD2A0">
      <w:start w:val="1"/>
      <w:numFmt w:val="lowerLetter"/>
      <w:lvlText w:val="%2."/>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E3E4BDC">
      <w:start w:val="1"/>
      <w:numFmt w:val="lowerRoman"/>
      <w:lvlText w:val="%3."/>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98C23CA">
      <w:start w:val="1"/>
      <w:numFmt w:val="decimal"/>
      <w:lvlText w:val="%4."/>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98741C">
      <w:start w:val="1"/>
      <w:numFmt w:val="lowerLetter"/>
      <w:lvlText w:val="%5."/>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867B48">
      <w:start w:val="1"/>
      <w:numFmt w:val="lowerRoman"/>
      <w:lvlText w:val="%6."/>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66AD2A4">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85992">
      <w:start w:val="1"/>
      <w:numFmt w:val="lowerLetter"/>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A0096A">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33464736"/>
    <w:multiLevelType w:val="hybridMultilevel"/>
    <w:tmpl w:val="4F2E10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BF6992"/>
    <w:multiLevelType w:val="hybridMultilevel"/>
    <w:tmpl w:val="883CC5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653967"/>
    <w:multiLevelType w:val="hybridMultilevel"/>
    <w:tmpl w:val="BCBCFB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lvlOverride w:ilvl="0">
      <w:lvl w:ilvl="0" w:tplc="419EDCFA">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ADCDFF0">
        <w:start w:val="1"/>
        <w:numFmt w:val="lowerLetter"/>
        <w:lvlText w:val="%2."/>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A0E5F76">
        <w:start w:val="1"/>
        <w:numFmt w:val="lowerRoman"/>
        <w:lvlText w:val="%3."/>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87" w:hanging="3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D64938E">
        <w:start w:val="1"/>
        <w:numFmt w:val="decimal"/>
        <w:lvlText w:val="%4."/>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9B0A7CC">
        <w:start w:val="1"/>
        <w:numFmt w:val="lowerLetter"/>
        <w:lvlText w:val="%5."/>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F2ED814">
        <w:start w:val="1"/>
        <w:numFmt w:val="lowerRoman"/>
        <w:lvlText w:val="%6."/>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47" w:hanging="3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3F66526">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7B2131E">
        <w:start w:val="1"/>
        <w:numFmt w:val="lowerLetter"/>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A50677C">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507" w:hanging="3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33C"/>
    <w:rsid w:val="0032733C"/>
    <w:rsid w:val="006C66FE"/>
    <w:rsid w:val="00DA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432BBA-A2C0-4526-BC45-48F43B20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ImportedStyle1">
    <w:name w:val="Imported Style 1"/>
    <w:pPr>
      <w:numPr>
        <w:numId w:val="1"/>
      </w:numPr>
    </w:p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basedOn w:val="Normal"/>
    <w:link w:val="HeaderChar"/>
    <w:uiPriority w:val="99"/>
    <w:unhideWhenUsed/>
    <w:rsid w:val="00DA7472"/>
    <w:pPr>
      <w:tabs>
        <w:tab w:val="center" w:pos="4680"/>
        <w:tab w:val="right" w:pos="9360"/>
      </w:tabs>
    </w:pPr>
  </w:style>
  <w:style w:type="character" w:customStyle="1" w:styleId="HeaderChar">
    <w:name w:val="Header Char"/>
    <w:basedOn w:val="DefaultParagraphFont"/>
    <w:link w:val="Header"/>
    <w:uiPriority w:val="99"/>
    <w:rsid w:val="00DA7472"/>
    <w:rPr>
      <w:sz w:val="24"/>
      <w:szCs w:val="24"/>
    </w:rPr>
  </w:style>
  <w:style w:type="paragraph" w:styleId="Footer">
    <w:name w:val="footer"/>
    <w:basedOn w:val="Normal"/>
    <w:link w:val="FooterChar"/>
    <w:uiPriority w:val="99"/>
    <w:unhideWhenUsed/>
    <w:rsid w:val="00DA7472"/>
    <w:pPr>
      <w:tabs>
        <w:tab w:val="center" w:pos="4680"/>
        <w:tab w:val="right" w:pos="9360"/>
      </w:tabs>
    </w:pPr>
  </w:style>
  <w:style w:type="character" w:customStyle="1" w:styleId="FooterChar">
    <w:name w:val="Footer Char"/>
    <w:basedOn w:val="DefaultParagraphFont"/>
    <w:link w:val="Footer"/>
    <w:uiPriority w:val="99"/>
    <w:rsid w:val="00DA747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1198</Words>
  <Characters>6830</Characters>
  <Application>Microsoft Office Word</Application>
  <DocSecurity>0</DocSecurity>
  <Lines>56</Lines>
  <Paragraphs>16</Paragraphs>
  <ScaleCrop>false</ScaleCrop>
  <Company/>
  <LinksUpToDate>false</LinksUpToDate>
  <CharactersWithSpaces>8012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Hillary Ochieng</cp:lastModifiedBy>
  <cp:revision>2</cp:revision>
  <dcterms:created xsi:type="dcterms:W3CDTF">2026-04-21T04:34:00Z</dcterms:created>
  <dcterms:modified xsi:type="dcterms:W3CDTF">2026-04-21T04:37:00Z</dcterms:modified>
</cp:coreProperties>
</file>