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93B80" w:rsidRPr="00145DEA" w:rsidRDefault="00C93B80" w:rsidP="00C93B80">
      <w:pPr>
        <w:jc w:val="center"/>
        <w:rPr>
          <w:rFonts w:ascii="Times New Roman" w:hAnsi="Times New Roman"/>
          <w:sz w:val="24"/>
          <w:szCs w:val="24"/>
        </w:rPr>
      </w:pPr>
      <w:r w:rsidRPr="00145DEA">
        <w:rPr>
          <w:rFonts w:ascii="Times New Roman" w:hAnsi="Times New Roman"/>
          <w:noProof/>
          <w:sz w:val="24"/>
          <w:szCs w:val="24"/>
          <w:lang w:val="en-US"/>
        </w:rPr>
        <w:drawing>
          <wp:inline distT="0" distB="0" distL="0" distR="0" wp14:anchorId="464DABE7" wp14:editId="2CC8A8BE">
            <wp:extent cx="1581150" cy="1076325"/>
            <wp:effectExtent l="0" t="0" r="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81150" cy="1076325"/>
                    </a:xfrm>
                    <a:prstGeom prst="rect">
                      <a:avLst/>
                    </a:prstGeom>
                    <a:noFill/>
                    <a:ln>
                      <a:noFill/>
                    </a:ln>
                  </pic:spPr>
                </pic:pic>
              </a:graphicData>
            </a:graphic>
          </wp:inline>
        </w:drawing>
      </w:r>
    </w:p>
    <w:p w:rsidR="00C93B80" w:rsidRPr="00145DEA" w:rsidRDefault="00C93B80" w:rsidP="00C93B80">
      <w:pPr>
        <w:pStyle w:val="Heading1"/>
        <w:spacing w:before="0"/>
        <w:jc w:val="center"/>
        <w:rPr>
          <w:rFonts w:ascii="Times New Roman" w:hAnsi="Times New Roman" w:cs="Times New Roman"/>
          <w:color w:val="auto"/>
          <w:sz w:val="24"/>
          <w:szCs w:val="24"/>
        </w:rPr>
      </w:pPr>
      <w:r w:rsidRPr="00145DEA">
        <w:rPr>
          <w:rFonts w:ascii="Times New Roman" w:hAnsi="Times New Roman" w:cs="Times New Roman"/>
          <w:color w:val="auto"/>
          <w:sz w:val="24"/>
          <w:szCs w:val="24"/>
        </w:rPr>
        <w:t>RIARA LAW SCHOOL</w:t>
      </w:r>
    </w:p>
    <w:p w:rsidR="00C93B80" w:rsidRPr="00145DEA" w:rsidRDefault="00C93B80" w:rsidP="00C93B80">
      <w:pPr>
        <w:pStyle w:val="Heading1"/>
        <w:spacing w:before="240"/>
        <w:jc w:val="center"/>
        <w:rPr>
          <w:rFonts w:ascii="Times New Roman" w:hAnsi="Times New Roman" w:cs="Times New Roman"/>
          <w:color w:val="auto"/>
          <w:sz w:val="24"/>
          <w:szCs w:val="24"/>
        </w:rPr>
      </w:pPr>
      <w:r w:rsidRPr="00145DEA">
        <w:rPr>
          <w:rFonts w:ascii="Times New Roman" w:hAnsi="Times New Roman" w:cs="Times New Roman"/>
          <w:color w:val="auto"/>
          <w:sz w:val="24"/>
          <w:szCs w:val="24"/>
        </w:rPr>
        <w:t>UNIVERSITY EXAMINATION FOR BACHELOR OF LAWS (LLB) DEGREE</w:t>
      </w:r>
    </w:p>
    <w:p w:rsidR="00C93B80" w:rsidRPr="00145DEA" w:rsidRDefault="00C93B80" w:rsidP="00C93B80">
      <w:pPr>
        <w:pStyle w:val="Heading1"/>
        <w:spacing w:before="240"/>
        <w:jc w:val="center"/>
        <w:rPr>
          <w:rFonts w:ascii="Times New Roman" w:hAnsi="Times New Roman" w:cs="Times New Roman"/>
          <w:color w:val="auto"/>
          <w:sz w:val="24"/>
          <w:szCs w:val="24"/>
        </w:rPr>
      </w:pPr>
      <w:r w:rsidRPr="00145DEA">
        <w:rPr>
          <w:rFonts w:ascii="Times New Roman" w:hAnsi="Times New Roman" w:cs="Times New Roman"/>
          <w:color w:val="auto"/>
          <w:sz w:val="24"/>
          <w:szCs w:val="24"/>
        </w:rPr>
        <w:t>JAN-APRIL 2023</w:t>
      </w:r>
    </w:p>
    <w:p w:rsidR="00C93B80" w:rsidRPr="00145DEA" w:rsidRDefault="00C93B80" w:rsidP="00C93B80">
      <w:pPr>
        <w:rPr>
          <w:rFonts w:ascii="Tw Cen MT" w:hAnsi="Tw Cen MT" w:cs="Times New Roman"/>
          <w:sz w:val="24"/>
          <w:szCs w:val="24"/>
        </w:rPr>
      </w:pPr>
    </w:p>
    <w:p w:rsidR="00C93B80" w:rsidRPr="00145DEA" w:rsidRDefault="00C93B80" w:rsidP="00C93B80">
      <w:pPr>
        <w:jc w:val="center"/>
        <w:rPr>
          <w:rFonts w:ascii="Times New Roman" w:hAnsi="Times New Roman"/>
          <w:b/>
          <w:bCs/>
          <w:sz w:val="24"/>
          <w:szCs w:val="24"/>
        </w:rPr>
      </w:pPr>
      <w:r w:rsidRPr="00145DEA">
        <w:rPr>
          <w:rFonts w:ascii="Times New Roman" w:hAnsi="Times New Roman"/>
          <w:b/>
          <w:bCs/>
          <w:sz w:val="24"/>
          <w:szCs w:val="24"/>
        </w:rPr>
        <w:t xml:space="preserve">RLB 319: </w:t>
      </w:r>
      <w:bookmarkStart w:id="0" w:name="_GoBack"/>
      <w:r w:rsidRPr="00145DEA">
        <w:rPr>
          <w:rFonts w:ascii="Times New Roman" w:hAnsi="Times New Roman"/>
          <w:b/>
          <w:bCs/>
          <w:sz w:val="24"/>
          <w:szCs w:val="24"/>
        </w:rPr>
        <w:t>REGIONAL INTEGRATION LAW</w:t>
      </w:r>
      <w:bookmarkEnd w:id="0"/>
    </w:p>
    <w:p w:rsidR="00C93B80" w:rsidRPr="00145DEA" w:rsidRDefault="00C93B80" w:rsidP="00C93B80">
      <w:pPr>
        <w:pStyle w:val="Heading1"/>
        <w:spacing w:before="240"/>
        <w:jc w:val="center"/>
        <w:rPr>
          <w:rFonts w:ascii="Times New Roman" w:hAnsi="Times New Roman" w:cs="Times New Roman"/>
          <w:color w:val="auto"/>
          <w:sz w:val="24"/>
          <w:szCs w:val="24"/>
        </w:rPr>
      </w:pPr>
      <w:r w:rsidRPr="00145DEA">
        <w:rPr>
          <w:rFonts w:ascii="Times New Roman" w:hAnsi="Times New Roman" w:cs="Times New Roman"/>
          <w:color w:val="auto"/>
          <w:sz w:val="24"/>
          <w:szCs w:val="24"/>
        </w:rPr>
        <w:t>EXAMINER: Augustus Mutemi Mbila</w:t>
      </w:r>
    </w:p>
    <w:p w:rsidR="00C93B80" w:rsidRPr="00145DEA" w:rsidRDefault="00C93B80" w:rsidP="00C93B80">
      <w:pPr>
        <w:spacing w:after="120"/>
        <w:jc w:val="center"/>
        <w:rPr>
          <w:rFonts w:ascii="Times New Roman" w:hAnsi="Times New Roman" w:cs="Times New Roman"/>
          <w:b/>
          <w:sz w:val="24"/>
          <w:szCs w:val="24"/>
          <w:u w:val="single"/>
        </w:rPr>
      </w:pPr>
    </w:p>
    <w:p w:rsidR="00C93B80" w:rsidRPr="00145DEA" w:rsidRDefault="00C93B80" w:rsidP="00C93B80">
      <w:pPr>
        <w:spacing w:after="120"/>
        <w:jc w:val="center"/>
        <w:rPr>
          <w:rFonts w:ascii="Times New Roman" w:hAnsi="Times New Roman"/>
          <w:sz w:val="24"/>
          <w:szCs w:val="24"/>
        </w:rPr>
      </w:pPr>
      <w:r w:rsidRPr="00145DEA">
        <w:rPr>
          <w:rFonts w:ascii="Times New Roman" w:hAnsi="Times New Roman"/>
          <w:b/>
          <w:sz w:val="24"/>
          <w:szCs w:val="24"/>
          <w:u w:val="single"/>
        </w:rPr>
        <w:t>INSTRUCTIONS</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This is the final examination in Regional Integration Law. You will earn 70% of your final grade from this final examination and 30% from Continuous Assessment Assignments.</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 xml:space="preserve">This examination has </w:t>
      </w:r>
      <w:r w:rsidRPr="00145DEA">
        <w:rPr>
          <w:rFonts w:ascii="Times New Roman" w:hAnsi="Times New Roman"/>
          <w:b/>
          <w:sz w:val="24"/>
          <w:szCs w:val="24"/>
          <w:u w:val="single"/>
        </w:rPr>
        <w:t>FOUR</w:t>
      </w:r>
      <w:r w:rsidRPr="00145DEA">
        <w:rPr>
          <w:rFonts w:ascii="Times New Roman" w:hAnsi="Times New Roman"/>
          <w:b/>
          <w:sz w:val="24"/>
          <w:szCs w:val="24"/>
        </w:rPr>
        <w:t xml:space="preserve"> </w:t>
      </w:r>
      <w:r w:rsidRPr="00145DEA">
        <w:rPr>
          <w:rFonts w:ascii="Times New Roman" w:hAnsi="Times New Roman"/>
          <w:sz w:val="24"/>
          <w:szCs w:val="24"/>
        </w:rPr>
        <w:t xml:space="preserve">questions.  Answer </w:t>
      </w:r>
      <w:r w:rsidRPr="00145DEA">
        <w:rPr>
          <w:rFonts w:ascii="Times New Roman" w:hAnsi="Times New Roman"/>
          <w:b/>
          <w:sz w:val="24"/>
          <w:szCs w:val="24"/>
          <w:u w:val="single"/>
        </w:rPr>
        <w:t>ALL FOUR QUESTIONS</w:t>
      </w:r>
      <w:r w:rsidRPr="00145DEA">
        <w:rPr>
          <w:rFonts w:ascii="Times New Roman" w:hAnsi="Times New Roman"/>
          <w:sz w:val="24"/>
          <w:szCs w:val="24"/>
        </w:rPr>
        <w:t>.</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This examination has 3 pages, including this one.</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 xml:space="preserve">Time allocated for this examination is </w:t>
      </w:r>
      <w:r w:rsidRPr="00145DEA">
        <w:rPr>
          <w:rFonts w:ascii="Times New Roman" w:hAnsi="Times New Roman"/>
          <w:b/>
          <w:sz w:val="24"/>
          <w:szCs w:val="24"/>
          <w:u w:val="single"/>
        </w:rPr>
        <w:t xml:space="preserve">TWO </w:t>
      </w:r>
      <w:r w:rsidRPr="00145DEA">
        <w:rPr>
          <w:rFonts w:ascii="Times New Roman" w:hAnsi="Times New Roman"/>
          <w:sz w:val="24"/>
          <w:szCs w:val="24"/>
        </w:rPr>
        <w:t xml:space="preserve">(2) hours. </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 xml:space="preserve">This is a </w:t>
      </w:r>
      <w:r w:rsidRPr="00145DEA">
        <w:rPr>
          <w:rFonts w:ascii="Times New Roman" w:hAnsi="Times New Roman"/>
          <w:b/>
          <w:bCs/>
          <w:sz w:val="24"/>
          <w:szCs w:val="24"/>
        </w:rPr>
        <w:t xml:space="preserve">CLOSED-BOOK </w:t>
      </w:r>
      <w:r w:rsidRPr="00145DEA">
        <w:rPr>
          <w:rFonts w:ascii="Times New Roman" w:hAnsi="Times New Roman"/>
          <w:sz w:val="24"/>
          <w:szCs w:val="24"/>
        </w:rPr>
        <w:t>examination.  This means that you are not allowed to refer to any material, whether in soft or hard copy.</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 xml:space="preserve">This examination is governed by the </w:t>
      </w:r>
      <w:r w:rsidRPr="00145DEA">
        <w:rPr>
          <w:rFonts w:ascii="Times New Roman" w:hAnsi="Times New Roman"/>
          <w:b/>
          <w:sz w:val="24"/>
          <w:szCs w:val="24"/>
          <w:u w:val="single"/>
        </w:rPr>
        <w:t>Riara University Academic Honesty Regulations</w:t>
      </w:r>
      <w:r w:rsidRPr="00145DEA">
        <w:rPr>
          <w:rFonts w:ascii="Times New Roman" w:hAnsi="Times New Roman"/>
          <w:sz w:val="24"/>
          <w:szCs w:val="24"/>
        </w:rPr>
        <w:t>. Students who violate those regulations will be penalized.  Students have an obligation to report to the course instructor any incidences of academic dishonesty compromising the integrity of this examination.</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 xml:space="preserve">Indicate your registration Number and the Title of the Exam on the cover page of the answer booklet. DO NOT indicate your name on the answer script. </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You must stop writing when the time is called.</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It is in your best interest that you write legibly.</w:t>
      </w:r>
    </w:p>
    <w:p w:rsidR="00C93B80" w:rsidRPr="00145DEA" w:rsidRDefault="00C93B80" w:rsidP="00C93B80">
      <w:pPr>
        <w:pStyle w:val="ListParagraph"/>
        <w:numPr>
          <w:ilvl w:val="0"/>
          <w:numId w:val="1"/>
        </w:numPr>
        <w:spacing w:after="120" w:line="360" w:lineRule="auto"/>
        <w:jc w:val="both"/>
        <w:rPr>
          <w:rFonts w:ascii="Times New Roman" w:hAnsi="Times New Roman"/>
          <w:sz w:val="24"/>
          <w:szCs w:val="24"/>
        </w:rPr>
      </w:pPr>
      <w:r w:rsidRPr="00145DEA">
        <w:rPr>
          <w:rFonts w:ascii="Times New Roman" w:hAnsi="Times New Roman"/>
          <w:sz w:val="24"/>
          <w:szCs w:val="24"/>
        </w:rPr>
        <w:t>Marks will be earned for close interaction with the questions, use of relevant authorities, and providing relevant solutions to the problems. Marks will be lost for irrelevance</w:t>
      </w:r>
    </w:p>
    <w:p w:rsidR="00C93B80" w:rsidRPr="00145DEA" w:rsidRDefault="00C93B80" w:rsidP="00C93B80">
      <w:pPr>
        <w:rPr>
          <w:rFonts w:ascii="Times New Roman" w:hAnsi="Times New Roman" w:cs="Times New Roman"/>
          <w:b/>
          <w:bCs/>
          <w:sz w:val="24"/>
          <w:szCs w:val="24"/>
        </w:rPr>
      </w:pPr>
    </w:p>
    <w:p w:rsidR="00C93B80" w:rsidRPr="00145DEA" w:rsidRDefault="00C93B80" w:rsidP="00C93B80">
      <w:pPr>
        <w:jc w:val="both"/>
        <w:rPr>
          <w:rFonts w:ascii="Times New Roman" w:eastAsia="Calibri" w:hAnsi="Times New Roman" w:cs="Times New Roman"/>
          <w:b/>
          <w:bCs/>
          <w:sz w:val="24"/>
          <w:szCs w:val="24"/>
          <w:lang w:val="en-SG"/>
        </w:rPr>
      </w:pPr>
      <w:r w:rsidRPr="00145DEA">
        <w:rPr>
          <w:rFonts w:ascii="Times New Roman" w:eastAsia="Calibri" w:hAnsi="Times New Roman" w:cs="Times New Roman"/>
          <w:b/>
          <w:bCs/>
          <w:sz w:val="24"/>
          <w:szCs w:val="24"/>
          <w:lang w:val="en-SG"/>
        </w:rPr>
        <w:lastRenderedPageBreak/>
        <w:t>QUESTION ONE (20 MARKS)</w:t>
      </w:r>
    </w:p>
    <w:p w:rsidR="00C93B80" w:rsidRPr="00145DEA" w:rsidRDefault="00C93B80" w:rsidP="00C93B80">
      <w:pPr>
        <w:jc w:val="both"/>
        <w:rPr>
          <w:rFonts w:ascii="Times New Roman" w:eastAsia="Calibri" w:hAnsi="Times New Roman" w:cs="Times New Roman"/>
          <w:sz w:val="24"/>
          <w:szCs w:val="24"/>
          <w:lang w:val="en-SG"/>
        </w:rPr>
      </w:pPr>
      <w:r w:rsidRPr="00145DEA">
        <w:rPr>
          <w:rFonts w:ascii="Times New Roman" w:eastAsia="Calibri" w:hAnsi="Times New Roman" w:cs="Times New Roman"/>
          <w:sz w:val="24"/>
          <w:szCs w:val="24"/>
          <w:lang w:val="en-SG"/>
        </w:rPr>
        <w:t xml:space="preserve">In 2013, the Republics of Kenya, Uganda and Rwanda teamed up to form what came to be known as “Coalition for the Willing”. Their teaming up was informed by a perception that the Republics of Tanzania and Burundi were “sluggish” in implementing provisions of the EAC Treaty and the Protocols. Specifically, these two republics had not yet decided whether to start playing their part in constructing a Standard Gauge Railway connecting the East Africa region. Kenya, Uganda, and Tanzania had already made that decision to start constructing their portions of the railway and had therefore felt that Tanzania and Burundi were delaying them. </w:t>
      </w:r>
    </w:p>
    <w:p w:rsidR="00C93B80" w:rsidRPr="00145DEA" w:rsidRDefault="00C93B80" w:rsidP="00C93B80">
      <w:pPr>
        <w:jc w:val="both"/>
        <w:rPr>
          <w:rFonts w:ascii="Times New Roman" w:eastAsia="Calibri" w:hAnsi="Times New Roman" w:cs="Times New Roman"/>
          <w:sz w:val="24"/>
          <w:szCs w:val="24"/>
          <w:lang w:val="en-SG"/>
        </w:rPr>
      </w:pPr>
      <w:r w:rsidRPr="00145DEA">
        <w:rPr>
          <w:rFonts w:ascii="Times New Roman" w:eastAsia="Calibri" w:hAnsi="Times New Roman" w:cs="Times New Roman"/>
          <w:b/>
          <w:bCs/>
          <w:sz w:val="24"/>
          <w:szCs w:val="24"/>
          <w:lang w:val="en-SG"/>
        </w:rPr>
        <w:t>With the help of case law developed by the East African Court of Justice, the EAC Treaty and its protocols, discuss how the principle of variable geometry allows the actions taken by Kenya, Uganda and Tanzania. Would you say that such an approach is an aid to the integration of the EAC or an impediment?</w:t>
      </w:r>
      <w:r w:rsidRPr="00145DEA">
        <w:rPr>
          <w:rFonts w:ascii="Times New Roman" w:eastAsia="Calibri" w:hAnsi="Times New Roman" w:cs="Times New Roman"/>
          <w:sz w:val="24"/>
          <w:szCs w:val="24"/>
          <w:lang w:val="en-SG"/>
        </w:rPr>
        <w:t xml:space="preserve"> </w:t>
      </w:r>
      <w:r>
        <w:rPr>
          <w:rFonts w:ascii="Times New Roman" w:eastAsia="Calibri" w:hAnsi="Times New Roman" w:cs="Times New Roman"/>
          <w:sz w:val="24"/>
          <w:szCs w:val="24"/>
          <w:lang w:val="en-SG"/>
        </w:rPr>
        <w:tab/>
      </w:r>
      <w:r>
        <w:rPr>
          <w:rFonts w:ascii="Times New Roman" w:eastAsia="Calibri" w:hAnsi="Times New Roman" w:cs="Times New Roman"/>
          <w:sz w:val="24"/>
          <w:szCs w:val="24"/>
          <w:lang w:val="en-SG"/>
        </w:rPr>
        <w:tab/>
      </w:r>
      <w:r>
        <w:rPr>
          <w:rFonts w:ascii="Times New Roman" w:eastAsia="Calibri" w:hAnsi="Times New Roman" w:cs="Times New Roman"/>
          <w:sz w:val="24"/>
          <w:szCs w:val="24"/>
          <w:lang w:val="en-SG"/>
        </w:rPr>
        <w:tab/>
      </w:r>
      <w:r>
        <w:rPr>
          <w:rFonts w:ascii="Times New Roman" w:eastAsia="Calibri" w:hAnsi="Times New Roman" w:cs="Times New Roman"/>
          <w:sz w:val="24"/>
          <w:szCs w:val="24"/>
          <w:lang w:val="en-SG"/>
        </w:rPr>
        <w:tab/>
      </w:r>
      <w:r>
        <w:rPr>
          <w:rFonts w:ascii="Times New Roman" w:eastAsia="Calibri" w:hAnsi="Times New Roman" w:cs="Times New Roman"/>
          <w:sz w:val="24"/>
          <w:szCs w:val="24"/>
          <w:lang w:val="en-SG"/>
        </w:rPr>
        <w:tab/>
      </w:r>
      <w:r w:rsidRPr="00145DEA">
        <w:rPr>
          <w:rFonts w:ascii="Times New Roman" w:eastAsia="Calibri" w:hAnsi="Times New Roman" w:cs="Times New Roman"/>
          <w:sz w:val="24"/>
          <w:szCs w:val="24"/>
          <w:lang w:val="en-SG"/>
        </w:rPr>
        <w:t>(</w:t>
      </w:r>
      <w:r w:rsidRPr="00145DEA">
        <w:rPr>
          <w:rFonts w:ascii="Times New Roman" w:eastAsia="Calibri" w:hAnsi="Times New Roman" w:cs="Times New Roman"/>
          <w:b/>
          <w:bCs/>
          <w:sz w:val="24"/>
          <w:szCs w:val="24"/>
          <w:lang w:val="en-SG"/>
        </w:rPr>
        <w:t>20 marks</w:t>
      </w:r>
      <w:r w:rsidRPr="00145DEA">
        <w:rPr>
          <w:rFonts w:ascii="Times New Roman" w:eastAsia="Calibri" w:hAnsi="Times New Roman" w:cs="Times New Roman"/>
          <w:sz w:val="24"/>
          <w:szCs w:val="24"/>
          <w:lang w:val="en-SG"/>
        </w:rPr>
        <w:t>)</w:t>
      </w:r>
    </w:p>
    <w:p w:rsidR="00C93B80" w:rsidRDefault="00C93B80" w:rsidP="00C93B80">
      <w:pPr>
        <w:jc w:val="both"/>
        <w:rPr>
          <w:rFonts w:ascii="Times New Roman" w:eastAsia="Calibri" w:hAnsi="Times New Roman" w:cs="Times New Roman"/>
          <w:b/>
          <w:bCs/>
          <w:sz w:val="24"/>
          <w:szCs w:val="24"/>
          <w:lang w:val="en-SG"/>
        </w:rPr>
      </w:pPr>
    </w:p>
    <w:p w:rsidR="00C93B80" w:rsidRPr="00145DEA" w:rsidRDefault="00C93B80" w:rsidP="00C93B80">
      <w:pPr>
        <w:jc w:val="both"/>
        <w:rPr>
          <w:rFonts w:ascii="Times New Roman" w:eastAsia="Calibri" w:hAnsi="Times New Roman" w:cs="Times New Roman"/>
          <w:b/>
          <w:bCs/>
          <w:sz w:val="24"/>
          <w:szCs w:val="24"/>
          <w:lang w:val="en-SG"/>
        </w:rPr>
      </w:pPr>
      <w:r w:rsidRPr="00145DEA">
        <w:rPr>
          <w:rFonts w:ascii="Times New Roman" w:eastAsia="Calibri" w:hAnsi="Times New Roman" w:cs="Times New Roman"/>
          <w:b/>
          <w:bCs/>
          <w:sz w:val="24"/>
          <w:szCs w:val="24"/>
          <w:lang w:val="en-SG"/>
        </w:rPr>
        <w:t>QUESTION TWO (20 MARKS)</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sz w:val="24"/>
          <w:szCs w:val="24"/>
        </w:rPr>
        <w:t>“…</w:t>
      </w:r>
      <w:r w:rsidRPr="00145DEA">
        <w:rPr>
          <w:rFonts w:ascii="Times New Roman" w:hAnsi="Times New Roman" w:cs="Times New Roman"/>
          <w:i/>
          <w:iCs/>
          <w:sz w:val="24"/>
          <w:szCs w:val="24"/>
        </w:rPr>
        <w:t>The biggest challenge in implementing Regional Integration Law is the constitutional philosophy of the Partner States, what can be summarized as Monist and Dualist approaches to the implementation of International Law</w:t>
      </w:r>
      <w:r w:rsidRPr="00145DEA">
        <w:rPr>
          <w:rFonts w:ascii="Times New Roman" w:hAnsi="Times New Roman" w:cs="Times New Roman"/>
          <w:sz w:val="24"/>
          <w:szCs w:val="24"/>
        </w:rPr>
        <w:t xml:space="preserve">…” </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sz w:val="24"/>
          <w:szCs w:val="24"/>
        </w:rPr>
        <w:t xml:space="preserve">Anonymous. </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b/>
          <w:bCs/>
          <w:sz w:val="24"/>
          <w:szCs w:val="24"/>
        </w:rPr>
        <w:t>Critically discuss Kenya’s approach towards implementing International Law, and, in particular, East African Community Law</w:t>
      </w:r>
      <w:r w:rsidRPr="00145DEA">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45DEA">
        <w:rPr>
          <w:rFonts w:ascii="Times New Roman" w:hAnsi="Times New Roman" w:cs="Times New Roman"/>
          <w:sz w:val="24"/>
          <w:szCs w:val="24"/>
        </w:rPr>
        <w:t>(</w:t>
      </w:r>
      <w:r w:rsidRPr="00145DEA">
        <w:rPr>
          <w:rFonts w:ascii="Times New Roman" w:hAnsi="Times New Roman" w:cs="Times New Roman"/>
          <w:b/>
          <w:bCs/>
          <w:sz w:val="24"/>
          <w:szCs w:val="24"/>
        </w:rPr>
        <w:t>20 marks</w:t>
      </w:r>
      <w:r w:rsidRPr="00145DEA">
        <w:rPr>
          <w:rFonts w:ascii="Times New Roman" w:hAnsi="Times New Roman" w:cs="Times New Roman"/>
          <w:sz w:val="24"/>
          <w:szCs w:val="24"/>
        </w:rPr>
        <w:t>)</w:t>
      </w:r>
    </w:p>
    <w:p w:rsidR="00C93B80" w:rsidRDefault="00C93B80" w:rsidP="00C93B80">
      <w:pPr>
        <w:jc w:val="both"/>
        <w:rPr>
          <w:rFonts w:ascii="Times New Roman" w:hAnsi="Times New Roman" w:cs="Times New Roman"/>
          <w:b/>
          <w:bCs/>
          <w:sz w:val="24"/>
          <w:szCs w:val="24"/>
        </w:rPr>
      </w:pPr>
    </w:p>
    <w:p w:rsidR="00C93B80" w:rsidRPr="00145DEA" w:rsidRDefault="00C93B80" w:rsidP="00C93B80">
      <w:pPr>
        <w:jc w:val="both"/>
        <w:rPr>
          <w:rFonts w:ascii="Times New Roman" w:hAnsi="Times New Roman" w:cs="Times New Roman"/>
          <w:b/>
          <w:bCs/>
          <w:sz w:val="24"/>
          <w:szCs w:val="24"/>
        </w:rPr>
      </w:pPr>
      <w:r w:rsidRPr="00145DEA">
        <w:rPr>
          <w:rFonts w:ascii="Times New Roman" w:hAnsi="Times New Roman" w:cs="Times New Roman"/>
          <w:b/>
          <w:bCs/>
          <w:sz w:val="24"/>
          <w:szCs w:val="24"/>
        </w:rPr>
        <w:t>QUESTION THREE (20 MARKS)</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sz w:val="24"/>
          <w:szCs w:val="24"/>
        </w:rPr>
        <w:t xml:space="preserve">In </w:t>
      </w:r>
      <w:r w:rsidRPr="00145DEA">
        <w:rPr>
          <w:rFonts w:ascii="Times New Roman" w:hAnsi="Times New Roman" w:cs="Times New Roman"/>
          <w:i/>
          <w:sz w:val="24"/>
          <w:szCs w:val="24"/>
        </w:rPr>
        <w:t>Alcon International v Standard Chartered Bank of Uganda &amp; 2 Others</w:t>
      </w:r>
      <w:r w:rsidRPr="00145DEA">
        <w:rPr>
          <w:rFonts w:ascii="Times New Roman" w:hAnsi="Times New Roman" w:cs="Times New Roman"/>
          <w:sz w:val="24"/>
          <w:szCs w:val="24"/>
        </w:rPr>
        <w:t xml:space="preserve">, Reference No. 6 of 2010 and </w:t>
      </w:r>
      <w:r w:rsidRPr="00145DEA">
        <w:rPr>
          <w:rFonts w:ascii="Times New Roman" w:hAnsi="Times New Roman" w:cs="Times New Roman"/>
          <w:i/>
          <w:sz w:val="24"/>
          <w:szCs w:val="24"/>
        </w:rPr>
        <w:t>Modern Holdings (EA) LTD v Kenya Ports Authority</w:t>
      </w:r>
      <w:r w:rsidRPr="00145DEA">
        <w:rPr>
          <w:rFonts w:ascii="Times New Roman" w:hAnsi="Times New Roman" w:cs="Times New Roman"/>
          <w:sz w:val="24"/>
          <w:szCs w:val="24"/>
        </w:rPr>
        <w:t xml:space="preserve">, Reference No. 1 of 2008, the East African Court of Justice stated that it did not have jurisdiction to hear matters that were thought to be in the purview of trade and investment, a key objective of establishing a regional trading bloc, yet the same court entertained a human rights matter in </w:t>
      </w:r>
      <w:r w:rsidRPr="00145DEA">
        <w:rPr>
          <w:rFonts w:ascii="Times New Roman" w:hAnsi="Times New Roman" w:cs="Times New Roman"/>
          <w:i/>
          <w:sz w:val="24"/>
          <w:szCs w:val="24"/>
        </w:rPr>
        <w:t>James Katabazi &amp; 21 Others v Secretary General of the East African Community &amp; The Attorney General of the Republic of Uganda</w:t>
      </w:r>
      <w:r w:rsidRPr="00145DEA">
        <w:rPr>
          <w:rFonts w:ascii="Times New Roman" w:hAnsi="Times New Roman" w:cs="Times New Roman"/>
          <w:sz w:val="24"/>
          <w:szCs w:val="24"/>
        </w:rPr>
        <w:t xml:space="preserve"> Reference No. 1 of 2007. </w:t>
      </w:r>
    </w:p>
    <w:p w:rsidR="00C93B80" w:rsidRPr="00145DEA" w:rsidRDefault="00C93B80" w:rsidP="00C93B80">
      <w:pPr>
        <w:jc w:val="both"/>
        <w:rPr>
          <w:rFonts w:ascii="Times New Roman" w:hAnsi="Times New Roman" w:cs="Times New Roman"/>
          <w:b/>
          <w:bCs/>
          <w:sz w:val="24"/>
          <w:szCs w:val="24"/>
        </w:rPr>
      </w:pPr>
      <w:r w:rsidRPr="00145DEA">
        <w:rPr>
          <w:rFonts w:ascii="Times New Roman" w:hAnsi="Times New Roman" w:cs="Times New Roman"/>
          <w:b/>
          <w:bCs/>
          <w:sz w:val="24"/>
          <w:szCs w:val="24"/>
        </w:rPr>
        <w:t xml:space="preserve">Utilise your understanding of the Treaty on the Establishment of the East African Community, Protocol to Operationalize the Extended Jurisdiction of the East African Court of Justice, Protocols Establishing the Customs Union, Common Market and Monetary Union, and recent jurisprudence from the East African Court of Justice to prepare a well-reasoned brief on the jurisdiction of the East African Court of Justice to hear disputes arising from trade activities by citizens of Partner States of the East African Community. </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b/>
          <w:bCs/>
          <w:sz w:val="24"/>
          <w:szCs w:val="24"/>
        </w:rPr>
        <w:t>Is such a jurisdiction impeded by the existence of other institutions with a similar jurisdiction</w:t>
      </w:r>
      <w:r w:rsidRPr="00145DEA">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45DEA">
        <w:rPr>
          <w:rFonts w:ascii="Times New Roman" w:hAnsi="Times New Roman" w:cs="Times New Roman"/>
          <w:sz w:val="24"/>
          <w:szCs w:val="24"/>
        </w:rPr>
        <w:t>(</w:t>
      </w:r>
      <w:r w:rsidRPr="00145DEA">
        <w:rPr>
          <w:rFonts w:ascii="Times New Roman" w:hAnsi="Times New Roman" w:cs="Times New Roman"/>
          <w:b/>
          <w:bCs/>
          <w:sz w:val="24"/>
          <w:szCs w:val="24"/>
        </w:rPr>
        <w:t>20 marks)</w:t>
      </w:r>
    </w:p>
    <w:p w:rsidR="00C93B80" w:rsidRPr="00145DEA" w:rsidRDefault="00C93B80" w:rsidP="00C93B80">
      <w:pPr>
        <w:jc w:val="both"/>
        <w:rPr>
          <w:rFonts w:ascii="Times New Roman" w:hAnsi="Times New Roman" w:cs="Times New Roman"/>
          <w:b/>
          <w:bCs/>
          <w:sz w:val="24"/>
          <w:szCs w:val="24"/>
        </w:rPr>
      </w:pPr>
      <w:r w:rsidRPr="00145DEA">
        <w:rPr>
          <w:rFonts w:ascii="Times New Roman" w:hAnsi="Times New Roman" w:cs="Times New Roman"/>
          <w:b/>
          <w:bCs/>
          <w:sz w:val="24"/>
          <w:szCs w:val="24"/>
        </w:rPr>
        <w:lastRenderedPageBreak/>
        <w:t>QUESTION FOUR (10 MARKS)</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sz w:val="24"/>
          <w:szCs w:val="24"/>
        </w:rPr>
        <w:t xml:space="preserve">The East African Community is the regional intergovernmental organisation of the Republics of Burundi, Kenya, Rwanda, the United Republic of Tanzania, South Sudan and the Republic of Uganda. At the moment, the Community is considering an application to join the community made by Somalia. In anticipation of positive feedback about its application, the head of government in Somalia contracts you to deliver talks to its legislature and its senior government officials. </w:t>
      </w:r>
    </w:p>
    <w:p w:rsidR="00C93B80" w:rsidRPr="00145DEA" w:rsidRDefault="00C93B80" w:rsidP="00C93B80">
      <w:pPr>
        <w:jc w:val="both"/>
        <w:rPr>
          <w:rFonts w:ascii="Times New Roman" w:hAnsi="Times New Roman" w:cs="Times New Roman"/>
          <w:b/>
          <w:bCs/>
          <w:sz w:val="24"/>
          <w:szCs w:val="24"/>
        </w:rPr>
      </w:pPr>
      <w:r w:rsidRPr="00145DEA">
        <w:rPr>
          <w:rFonts w:ascii="Times New Roman" w:hAnsi="Times New Roman" w:cs="Times New Roman"/>
          <w:b/>
          <w:bCs/>
          <w:sz w:val="24"/>
          <w:szCs w:val="24"/>
        </w:rPr>
        <w:t>Required:</w:t>
      </w:r>
    </w:p>
    <w:p w:rsidR="00C93B80" w:rsidRPr="00145DEA" w:rsidRDefault="00C93B80" w:rsidP="00C93B80">
      <w:pPr>
        <w:jc w:val="both"/>
        <w:rPr>
          <w:rFonts w:ascii="Times New Roman" w:hAnsi="Times New Roman" w:cs="Times New Roman"/>
          <w:sz w:val="24"/>
          <w:szCs w:val="24"/>
        </w:rPr>
      </w:pPr>
      <w:r w:rsidRPr="00145DEA">
        <w:rPr>
          <w:rFonts w:ascii="Times New Roman" w:hAnsi="Times New Roman" w:cs="Times New Roman"/>
          <w:b/>
          <w:bCs/>
          <w:sz w:val="24"/>
          <w:szCs w:val="24"/>
        </w:rPr>
        <w:t>Prepare a detailed brief outlining and discussing five (5) potential benefits of joining the community. In discussing the benefits, itemize five (5) risks associated with joining or being a member of a Regional Economic Community. Finally, determine whether the applicant is eligible to join the Community or not</w:t>
      </w:r>
      <w:r w:rsidRPr="00145DEA">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Pr="00145DEA">
        <w:rPr>
          <w:rFonts w:ascii="Times New Roman" w:hAnsi="Times New Roman" w:cs="Times New Roman"/>
          <w:sz w:val="24"/>
          <w:szCs w:val="24"/>
        </w:rPr>
        <w:t>(</w:t>
      </w:r>
      <w:r w:rsidRPr="00145DEA">
        <w:rPr>
          <w:rFonts w:ascii="Times New Roman" w:hAnsi="Times New Roman" w:cs="Times New Roman"/>
          <w:b/>
          <w:bCs/>
          <w:sz w:val="24"/>
          <w:szCs w:val="24"/>
        </w:rPr>
        <w:t>10 marks</w:t>
      </w:r>
      <w:r w:rsidRPr="00145DEA">
        <w:rPr>
          <w:rFonts w:ascii="Times New Roman" w:hAnsi="Times New Roman" w:cs="Times New Roman"/>
          <w:sz w:val="24"/>
          <w:szCs w:val="24"/>
        </w:rPr>
        <w:t xml:space="preserve">) </w:t>
      </w:r>
    </w:p>
    <w:p w:rsidR="00C93B80" w:rsidRPr="00145DEA" w:rsidRDefault="00C93B80" w:rsidP="00C93B80">
      <w:pPr>
        <w:jc w:val="both"/>
        <w:rPr>
          <w:rFonts w:ascii="Times New Roman" w:hAnsi="Times New Roman" w:cs="Times New Roman"/>
          <w:sz w:val="24"/>
          <w:szCs w:val="24"/>
        </w:rPr>
      </w:pPr>
    </w:p>
    <w:p w:rsidR="00C93B80" w:rsidRPr="00145DEA" w:rsidRDefault="00C93B80" w:rsidP="00C93B80">
      <w:pPr>
        <w:pStyle w:val="ListParagraph"/>
        <w:jc w:val="both"/>
        <w:rPr>
          <w:rFonts w:ascii="Times New Roman" w:hAnsi="Times New Roman" w:cs="Times New Roman"/>
          <w:sz w:val="24"/>
          <w:szCs w:val="24"/>
        </w:rPr>
      </w:pPr>
    </w:p>
    <w:p w:rsidR="00781BEE" w:rsidRDefault="00C93B80"/>
    <w:sectPr w:rsidR="00781BEE" w:rsidSect="008E57CF">
      <w:footerReference w:type="default" r:id="rId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w Cen MT">
    <w:panose1 w:val="020B06020201040206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00534305"/>
      <w:docPartObj>
        <w:docPartGallery w:val="Page Numbers (Bottom of Page)"/>
        <w:docPartUnique/>
      </w:docPartObj>
    </w:sdtPr>
    <w:sdtEndPr/>
    <w:sdtContent>
      <w:sdt>
        <w:sdtPr>
          <w:id w:val="1728636285"/>
          <w:docPartObj>
            <w:docPartGallery w:val="Page Numbers (Top of Page)"/>
            <w:docPartUnique/>
          </w:docPartObj>
        </w:sdtPr>
        <w:sdtEndPr/>
        <w:sdtContent>
          <w:p w:rsidR="00145DEA" w:rsidRDefault="00C93B80">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3</w:t>
            </w:r>
            <w:r>
              <w:rPr>
                <w:b/>
                <w:bCs/>
                <w:sz w:val="24"/>
                <w:szCs w:val="24"/>
              </w:rPr>
              <w:fldChar w:fldCharType="end"/>
            </w:r>
          </w:p>
        </w:sdtContent>
      </w:sdt>
    </w:sdtContent>
  </w:sdt>
  <w:p w:rsidR="00145DEA" w:rsidRDefault="00C93B80">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1B64BC9"/>
    <w:multiLevelType w:val="hybridMultilevel"/>
    <w:tmpl w:val="2A905C9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3B80"/>
    <w:rsid w:val="008A1902"/>
    <w:rsid w:val="00BF1764"/>
    <w:rsid w:val="00C93B8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0057B2-AE32-4AD1-83BC-543C99FECB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3B80"/>
    <w:rPr>
      <w:lang w:val="en-GB"/>
    </w:rPr>
  </w:style>
  <w:style w:type="paragraph" w:styleId="Heading1">
    <w:name w:val="heading 1"/>
    <w:basedOn w:val="Normal"/>
    <w:next w:val="Normal"/>
    <w:link w:val="Heading1Char"/>
    <w:uiPriority w:val="9"/>
    <w:qFormat/>
    <w:rsid w:val="00C93B80"/>
    <w:pPr>
      <w:keepNext/>
      <w:keepLines/>
      <w:spacing w:before="480" w:after="0" w:line="240" w:lineRule="auto"/>
      <w:outlineLvl w:val="0"/>
    </w:pPr>
    <w:rPr>
      <w:rFonts w:asciiTheme="majorHAnsi" w:eastAsiaTheme="majorEastAsia" w:hAnsiTheme="majorHAnsi" w:cstheme="majorBidi"/>
      <w:b/>
      <w:bCs/>
      <w:color w:val="2C6EAB" w:themeColor="accent1" w:themeShade="B5"/>
      <w:sz w:val="32"/>
      <w:szCs w:val="32"/>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93B80"/>
    <w:rPr>
      <w:rFonts w:asciiTheme="majorHAnsi" w:eastAsiaTheme="majorEastAsia" w:hAnsiTheme="majorHAnsi" w:cstheme="majorBidi"/>
      <w:b/>
      <w:bCs/>
      <w:color w:val="2C6EAB" w:themeColor="accent1" w:themeShade="B5"/>
      <w:sz w:val="32"/>
      <w:szCs w:val="32"/>
    </w:rPr>
  </w:style>
  <w:style w:type="paragraph" w:styleId="ListParagraph">
    <w:name w:val="List Paragraph"/>
    <w:basedOn w:val="Normal"/>
    <w:uiPriority w:val="34"/>
    <w:qFormat/>
    <w:rsid w:val="00C93B80"/>
    <w:pPr>
      <w:ind w:left="720"/>
      <w:contextualSpacing/>
    </w:pPr>
  </w:style>
  <w:style w:type="paragraph" w:styleId="Footer">
    <w:name w:val="footer"/>
    <w:basedOn w:val="Normal"/>
    <w:link w:val="FooterChar"/>
    <w:uiPriority w:val="99"/>
    <w:unhideWhenUsed/>
    <w:rsid w:val="00C93B8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93B80"/>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723</Words>
  <Characters>4126</Characters>
  <Application>Microsoft Office Word</Application>
  <DocSecurity>0</DocSecurity>
  <Lines>34</Lines>
  <Paragraphs>9</Paragraphs>
  <ScaleCrop>false</ScaleCrop>
  <Company/>
  <LinksUpToDate>false</LinksUpToDate>
  <CharactersWithSpaces>4840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2023-07-17T07:36:00Z</dcterms:created>
  <dcterms:modified xsi:type="dcterms:W3CDTF">2023-07-17T07:37:00Z</dcterms:modified>
</cp:coreProperties>
</file>