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980ABD">
      <w:pPr>
        <w:jc w:val="center"/>
        <w:rPr>
          <w:rFonts w:ascii="Book Antiqua" w:hAnsi="Book Antiqua"/>
          <w:b/>
          <w:bCs/>
          <w:lang w:val="en-GB"/>
        </w:rPr>
      </w:pPr>
      <w:r>
        <w:rPr>
          <w:rFonts w:ascii="Book Antiqua" w:hAnsi="Book Antiqua"/>
          <w:b/>
          <w:bCs/>
        </w:rPr>
        <w:drawing>
          <wp:inline distT="0" distB="0" distL="0" distR="0">
            <wp:extent cx="1308100" cy="692150"/>
            <wp:effectExtent l="0" t="0" r="6350" b="0"/>
            <wp:docPr id="1" name="Picture 1"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RU LOGO 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08100" cy="692150"/>
                    </a:xfrm>
                    <a:prstGeom prst="rect">
                      <a:avLst/>
                    </a:prstGeom>
                    <a:noFill/>
                    <a:ln>
                      <a:noFill/>
                    </a:ln>
                  </pic:spPr>
                </pic:pic>
              </a:graphicData>
            </a:graphic>
          </wp:inline>
        </w:drawing>
      </w:r>
    </w:p>
    <w:p w14:paraId="4E365B5C">
      <w:pPr>
        <w:spacing w:after="0"/>
        <w:jc w:val="center"/>
        <w:rPr>
          <w:rFonts w:ascii="Book Antiqua" w:hAnsi="Book Antiqua"/>
          <w:b/>
          <w:bCs/>
          <w:lang w:val="en-GB"/>
        </w:rPr>
      </w:pPr>
      <w:r>
        <w:rPr>
          <w:rFonts w:ascii="Book Antiqua" w:hAnsi="Book Antiqua"/>
          <w:b/>
          <w:bCs/>
          <w:lang w:val="en-GB"/>
        </w:rPr>
        <w:t>RIARA SCHOOL OF INTERNATIONAL RELATIONS &amp; DIPLOMACY</w:t>
      </w:r>
    </w:p>
    <w:p w14:paraId="739782F8">
      <w:pPr>
        <w:spacing w:after="0"/>
        <w:jc w:val="center"/>
        <w:rPr>
          <w:rFonts w:ascii="Book Antiqua" w:hAnsi="Book Antiqua"/>
          <w:b/>
          <w:bCs/>
          <w:lang w:val="en-GB"/>
        </w:rPr>
      </w:pPr>
      <w:r>
        <w:rPr>
          <w:rFonts w:ascii="Book Antiqua" w:hAnsi="Book Antiqua"/>
          <w:b/>
          <w:bCs/>
          <w:i/>
          <w:lang w:val="en-GB"/>
        </w:rPr>
        <w:t>NURTURING INNOVATORS</w:t>
      </w:r>
    </w:p>
    <w:p w14:paraId="715A2D0E">
      <w:pPr>
        <w:spacing w:after="0"/>
        <w:jc w:val="center"/>
        <w:rPr>
          <w:rFonts w:ascii="Book Antiqua" w:hAnsi="Book Antiqua"/>
          <w:b/>
          <w:bCs/>
          <w:lang w:val="en-GB"/>
        </w:rPr>
      </w:pPr>
      <w:r>
        <w:rPr>
          <w:rFonts w:ascii="Book Antiqua" w:hAnsi="Book Antiqua"/>
          <w:b/>
          <w:bCs/>
          <w:lang w:val="en-GB"/>
        </w:rPr>
        <w:t>JANUARY –APRIL 2026 TRIMESTER</w:t>
      </w:r>
    </w:p>
    <w:p w14:paraId="08D54CCA">
      <w:pPr>
        <w:spacing w:after="0"/>
        <w:jc w:val="center"/>
        <w:rPr>
          <w:rFonts w:ascii="Book Antiqua" w:hAnsi="Book Antiqua"/>
          <w:b/>
          <w:bCs/>
          <w:lang w:val="en-GB"/>
        </w:rPr>
      </w:pPr>
      <w:r>
        <w:rPr>
          <w:rFonts w:ascii="Book Antiqua" w:hAnsi="Book Antiqua"/>
          <w:b/>
          <w:bCs/>
          <w:lang w:val="en-GB"/>
        </w:rPr>
        <w:t>EXAMINATIONS FOR BACHELOR OF ARTS IN INTERNATIONAL RELATIONS &amp; DIPLOMACY</w:t>
      </w:r>
    </w:p>
    <w:p w14:paraId="22E44F46">
      <w:pPr>
        <w:spacing w:after="0"/>
        <w:jc w:val="center"/>
        <w:rPr>
          <w:rFonts w:ascii="Book Antiqua" w:hAnsi="Book Antiqua"/>
          <w:b/>
          <w:bCs/>
          <w:lang w:val="en-GB"/>
        </w:rPr>
      </w:pPr>
      <w:r>
        <w:rPr>
          <w:rFonts w:ascii="Book Antiqua" w:hAnsi="Book Antiqua"/>
          <w:b/>
          <w:bCs/>
          <w:lang w:val="en-GB"/>
        </w:rPr>
        <w:t>DAY  PROGRAMME</w:t>
      </w:r>
    </w:p>
    <w:p w14:paraId="731E8565">
      <w:pPr>
        <w:spacing w:after="0"/>
        <w:jc w:val="center"/>
        <w:rPr>
          <w:rFonts w:ascii="Book Antiqua" w:hAnsi="Book Antiqua"/>
          <w:b/>
          <w:bCs/>
          <w:lang w:val="en-GB"/>
        </w:rPr>
      </w:pPr>
      <w:r>
        <w:rPr>
          <w:rFonts w:ascii="Book Antiqua" w:hAnsi="Book Antiqua"/>
          <w:b/>
          <w:bCs/>
          <w:lang w:val="en-GB"/>
        </w:rPr>
        <w:t xml:space="preserve">UNIT CODE: </w:t>
      </w:r>
      <w:r>
        <w:rPr>
          <w:rFonts w:ascii="Book Antiqua" w:hAnsi="Book Antiqua"/>
          <w:b/>
          <w:bCs/>
        </w:rPr>
        <w:t>RBIR 7222</w:t>
      </w:r>
    </w:p>
    <w:p w14:paraId="4072C2E2">
      <w:pPr>
        <w:spacing w:after="0"/>
        <w:jc w:val="center"/>
        <w:rPr>
          <w:rFonts w:ascii="Book Antiqua" w:hAnsi="Book Antiqua"/>
          <w:b/>
          <w:bCs/>
          <w:lang w:val="en-GB"/>
        </w:rPr>
      </w:pPr>
      <w:r>
        <w:rPr>
          <w:rFonts w:ascii="Book Antiqua" w:hAnsi="Book Antiqua"/>
          <w:b/>
          <w:bCs/>
          <w:lang w:val="en-GB"/>
        </w:rPr>
        <w:t>UNIT TITLE: INTERNATIONAL HUMANITARIAN LAW</w:t>
      </w:r>
    </w:p>
    <w:p w14:paraId="036D7C37">
      <w:pPr>
        <w:spacing w:after="0"/>
        <w:jc w:val="center"/>
        <w:rPr>
          <w:rFonts w:ascii="Book Antiqua" w:hAnsi="Book Antiqua"/>
          <w:b/>
          <w:bCs/>
          <w:lang w:val="en-GB"/>
        </w:rPr>
      </w:pPr>
      <w:r>
        <w:rPr>
          <w:rFonts w:ascii="Book Antiqua" w:hAnsi="Book Antiqua"/>
          <w:b/>
          <w:bCs/>
          <w:lang w:val="en-GB"/>
        </w:rPr>
        <w:tab/>
      </w:r>
      <w:r>
        <w:rPr>
          <w:rFonts w:ascii="Book Antiqua" w:hAnsi="Book Antiqua"/>
          <w:b/>
          <w:bCs/>
          <w:lang w:val="en-GB"/>
        </w:rPr>
        <w:tab/>
      </w:r>
      <w:r>
        <w:rPr>
          <w:rFonts w:ascii="Book Antiqua" w:hAnsi="Book Antiqua"/>
          <w:b/>
          <w:bCs/>
          <w:lang w:val="en-GB"/>
        </w:rPr>
        <w:tab/>
      </w:r>
      <w:r>
        <w:rPr>
          <w:rFonts w:ascii="Book Antiqua" w:hAnsi="Book Antiqua"/>
          <w:b/>
          <w:bCs/>
          <w:lang w:val="en-GB"/>
        </w:rPr>
        <w:tab/>
      </w:r>
      <w:r>
        <w:rPr>
          <w:rFonts w:ascii="Book Antiqua" w:hAnsi="Book Antiqua"/>
          <w:b/>
          <w:bCs/>
          <w:lang w:val="en-GB"/>
        </w:rPr>
        <w:tab/>
      </w:r>
      <w:r>
        <w:rPr>
          <w:rFonts w:ascii="Book Antiqua" w:hAnsi="Book Antiqua"/>
          <w:b/>
          <w:bCs/>
          <w:lang w:val="en-GB"/>
        </w:rPr>
        <w:t xml:space="preserve">     TIME: 2 HOURS</w:t>
      </w:r>
    </w:p>
    <w:p w14:paraId="04A7FE39">
      <w:pPr>
        <w:spacing w:after="0"/>
        <w:jc w:val="center"/>
        <w:rPr>
          <w:rFonts w:ascii="Book Antiqua" w:hAnsi="Book Antiqua"/>
          <w:b/>
          <w:bCs/>
          <w:u w:val="single"/>
          <w:lang w:val="en-GB"/>
        </w:rPr>
      </w:pPr>
    </w:p>
    <w:p w14:paraId="6171F8B5">
      <w:pPr>
        <w:spacing w:after="0"/>
        <w:jc w:val="center"/>
        <w:rPr>
          <w:rFonts w:ascii="Book Antiqua" w:hAnsi="Book Antiqua"/>
          <w:b/>
          <w:bCs/>
          <w:u w:val="single"/>
          <w:lang w:val="en-GB"/>
        </w:rPr>
      </w:pPr>
      <w:r>
        <w:rPr>
          <w:rFonts w:ascii="Book Antiqua" w:hAnsi="Book Antiqua"/>
          <w:b/>
          <w:bCs/>
          <w:u w:val="single"/>
          <w:lang w:val="en-GB"/>
        </w:rPr>
        <w:t>GENERAL INSTRUCTIONS:</w:t>
      </w:r>
    </w:p>
    <w:p w14:paraId="39BD7EB7">
      <w:pPr>
        <w:spacing w:after="0"/>
        <w:jc w:val="both"/>
        <w:rPr>
          <w:rFonts w:ascii="Book Antiqua" w:hAnsi="Book Antiqua"/>
          <w:bCs/>
          <w:lang w:val="en-GB"/>
        </w:rPr>
      </w:pPr>
      <w:r>
        <w:rPr>
          <w:rFonts w:ascii="Book Antiqua" w:hAnsi="Book Antiqua"/>
          <w:bCs/>
          <w:lang w:val="en-GB"/>
        </w:rPr>
        <w:t>Students are NOT permitted to write on the examination paper during reading time.</w:t>
      </w:r>
    </w:p>
    <w:p w14:paraId="591D7067">
      <w:pPr>
        <w:spacing w:after="0"/>
        <w:jc w:val="both"/>
        <w:rPr>
          <w:rFonts w:ascii="Book Antiqua" w:hAnsi="Book Antiqua"/>
          <w:bCs/>
          <w:lang w:val="en-GB"/>
        </w:rPr>
      </w:pPr>
      <w:r>
        <w:rPr>
          <w:rFonts w:ascii="Book Antiqua" w:hAnsi="Book Antiqua"/>
          <w:bCs/>
          <w:lang w:val="en-GB"/>
        </w:rPr>
        <w:t>This is a closed book examination. Text book/Reference books/notes are not permitted.</w:t>
      </w:r>
    </w:p>
    <w:p w14:paraId="4625ADBA">
      <w:pPr>
        <w:spacing w:after="0"/>
        <w:jc w:val="both"/>
        <w:rPr>
          <w:rFonts w:ascii="Book Antiqua" w:hAnsi="Book Antiqua"/>
          <w:bCs/>
          <w:u w:val="single"/>
          <w:lang w:val="en-GB"/>
        </w:rPr>
      </w:pPr>
    </w:p>
    <w:p w14:paraId="788A514E">
      <w:pPr>
        <w:spacing w:before="240" w:after="0"/>
        <w:jc w:val="both"/>
        <w:rPr>
          <w:rFonts w:ascii="Book Antiqua" w:hAnsi="Book Antiqua"/>
          <w:bCs/>
          <w:lang w:val="en-GB"/>
        </w:rPr>
      </w:pPr>
      <w:r>
        <w:rPr>
          <w:rFonts w:ascii="Book Antiqua" w:hAnsi="Book Antiqua"/>
          <w:bCs/>
          <w:u w:val="single"/>
          <w:lang w:val="en-GB"/>
        </w:rPr>
        <w:t>SPECIAL INSTRUCTIONS</w:t>
      </w:r>
      <w:r>
        <w:rPr>
          <w:rFonts w:ascii="Book Antiqua" w:hAnsi="Book Antiqua"/>
          <w:bCs/>
          <w:lang w:val="en-GB"/>
        </w:rPr>
        <w:t>:</w:t>
      </w:r>
    </w:p>
    <w:p w14:paraId="2894A109">
      <w:pPr>
        <w:spacing w:before="240" w:after="0"/>
        <w:jc w:val="both"/>
        <w:rPr>
          <w:rFonts w:ascii="Book Antiqua" w:hAnsi="Book Antiqua"/>
          <w:bCs/>
          <w:lang w:val="en-GB"/>
        </w:rPr>
      </w:pPr>
      <w:r>
        <w:rPr>
          <w:rFonts w:ascii="Book Antiqua" w:hAnsi="Book Antiqua"/>
          <w:bCs/>
          <w:lang w:val="en-GB"/>
        </w:rPr>
        <w:t>1 Write your REGISTRATION NO. Clearly on the answer booklet(s).</w:t>
      </w:r>
    </w:p>
    <w:p w14:paraId="3AA80DEB">
      <w:pPr>
        <w:spacing w:before="240" w:after="0"/>
        <w:jc w:val="both"/>
        <w:rPr>
          <w:rFonts w:ascii="Book Antiqua" w:hAnsi="Book Antiqua"/>
          <w:bCs/>
          <w:lang w:val="en-GB"/>
        </w:rPr>
      </w:pPr>
      <w:r>
        <w:rPr>
          <w:rFonts w:ascii="Book Antiqua" w:hAnsi="Book Antiqua"/>
          <w:bCs/>
          <w:lang w:val="en-GB"/>
        </w:rPr>
        <w:t>2 Answer Question One and ANY other TWO questions.</w:t>
      </w:r>
    </w:p>
    <w:p w14:paraId="6B4C0D07">
      <w:pPr>
        <w:spacing w:before="240" w:after="0"/>
        <w:jc w:val="both"/>
        <w:rPr>
          <w:rFonts w:ascii="Book Antiqua" w:hAnsi="Book Antiqua"/>
          <w:bCs/>
          <w:lang w:val="en-GB"/>
        </w:rPr>
      </w:pPr>
      <w:r>
        <w:rPr>
          <w:rFonts w:ascii="Book Antiqua" w:hAnsi="Book Antiqua"/>
          <w:bCs/>
          <w:lang w:val="en-GB"/>
        </w:rPr>
        <w:t>3 Questions in all sections should be answered in answer booklet(s).</w:t>
      </w:r>
    </w:p>
    <w:p w14:paraId="4E5F96EB">
      <w:pPr>
        <w:spacing w:before="240" w:after="0"/>
        <w:jc w:val="both"/>
        <w:rPr>
          <w:rFonts w:ascii="Book Antiqua" w:hAnsi="Book Antiqua"/>
          <w:bCs/>
          <w:lang w:val="en-GB"/>
        </w:rPr>
      </w:pPr>
      <w:r>
        <w:rPr>
          <w:rFonts w:ascii="Book Antiqua" w:hAnsi="Book Antiqua"/>
          <w:bCs/>
          <w:lang w:val="en-GB"/>
        </w:rPr>
        <w:t>4 Marks allocated to each question are shown at the end of the question.</w:t>
      </w:r>
    </w:p>
    <w:p w14:paraId="1D176742">
      <w:pPr>
        <w:spacing w:before="240" w:after="0"/>
        <w:jc w:val="both"/>
        <w:rPr>
          <w:rFonts w:ascii="Book Antiqua" w:hAnsi="Book Antiqua"/>
          <w:bCs/>
          <w:lang w:val="en-GB"/>
        </w:rPr>
      </w:pPr>
      <w:r>
        <w:rPr>
          <w:rFonts w:ascii="Book Antiqua" w:hAnsi="Book Antiqua"/>
          <w:bCs/>
          <w:lang w:val="en-GB"/>
        </w:rPr>
        <w:t>5 PLEASE start the answer to EACH question on a NEW PAGE.</w:t>
      </w:r>
    </w:p>
    <w:p w14:paraId="3B328662">
      <w:pPr>
        <w:spacing w:before="240" w:after="0"/>
        <w:jc w:val="both"/>
        <w:rPr>
          <w:rFonts w:ascii="Book Antiqua" w:hAnsi="Book Antiqua"/>
          <w:bCs/>
          <w:lang w:val="en-GB"/>
        </w:rPr>
      </w:pPr>
      <w:r>
        <w:rPr>
          <w:rFonts w:ascii="Book Antiqua" w:hAnsi="Book Antiqua"/>
          <w:bCs/>
          <w:lang w:val="en-GB"/>
        </w:rPr>
        <w:t>6 For the questions, write the number of the question on the answer booklet(s) in the order you answered them.</w:t>
      </w:r>
    </w:p>
    <w:p w14:paraId="31B65AEB">
      <w:pPr>
        <w:spacing w:before="240" w:after="0"/>
        <w:jc w:val="both"/>
        <w:rPr>
          <w:rFonts w:ascii="Book Antiqua" w:hAnsi="Book Antiqua"/>
          <w:bCs/>
          <w:lang w:val="en-GB"/>
        </w:rPr>
      </w:pPr>
      <w:r>
        <w:rPr>
          <w:rFonts w:ascii="Book Antiqua" w:hAnsi="Book Antiqua"/>
          <w:bCs/>
          <w:lang w:val="en-GB"/>
        </w:rPr>
        <w:t>7 Write your answers in paragraph form unless stated otherwise.</w:t>
      </w:r>
    </w:p>
    <w:p w14:paraId="1BB42D8E">
      <w:pPr>
        <w:spacing w:before="240" w:after="0"/>
        <w:jc w:val="both"/>
        <w:rPr>
          <w:rFonts w:ascii="Book Antiqua" w:hAnsi="Book Antiqua"/>
          <w:bCs/>
          <w:lang w:val="en-GB"/>
        </w:rPr>
      </w:pPr>
      <w:r>
        <w:rPr>
          <w:rFonts w:ascii="Book Antiqua" w:hAnsi="Book Antiqua"/>
          <w:bCs/>
          <w:lang w:val="en-GB"/>
        </w:rPr>
        <w:t>8 Keep your phone(s) SWITCHED OFF at the front of the examination room.</w:t>
      </w:r>
    </w:p>
    <w:p w14:paraId="2B412875">
      <w:pPr>
        <w:spacing w:before="240" w:after="0"/>
        <w:jc w:val="both"/>
        <w:rPr>
          <w:rFonts w:ascii="Book Antiqua" w:hAnsi="Book Antiqua"/>
          <w:bCs/>
          <w:lang w:val="en-GB"/>
        </w:rPr>
      </w:pPr>
      <w:r>
        <w:rPr>
          <w:rFonts w:ascii="Book Antiqua" w:hAnsi="Book Antiqua"/>
          <w:bCs/>
          <w:lang w:val="en-GB"/>
        </w:rPr>
        <w:t>9 Keep ALL bags and caps at the front of the examination room and do not refer to any unauthorized material before or during the course of the examination.</w:t>
      </w:r>
    </w:p>
    <w:p w14:paraId="20F0F661">
      <w:pPr>
        <w:spacing w:before="240" w:after="0"/>
        <w:jc w:val="both"/>
        <w:rPr>
          <w:rFonts w:ascii="Book Antiqua" w:hAnsi="Book Antiqua"/>
          <w:bCs/>
          <w:lang w:val="en-GB"/>
        </w:rPr>
      </w:pPr>
      <w:r>
        <w:rPr>
          <w:rFonts w:ascii="Book Antiqua" w:hAnsi="Book Antiqua"/>
          <w:bCs/>
          <w:lang w:val="en-GB"/>
        </w:rPr>
        <w:t>10 You are only allowed to leave the examination room 30 minutes to the end of the Examination.</w:t>
      </w:r>
    </w:p>
    <w:p w14:paraId="57576756">
      <w:pPr>
        <w:jc w:val="both"/>
        <w:rPr>
          <w:rFonts w:ascii="Book Antiqua" w:hAnsi="Book Antiqua"/>
          <w:b/>
          <w:bCs/>
        </w:rPr>
      </w:pPr>
    </w:p>
    <w:p w14:paraId="6B83CFA8">
      <w:pPr>
        <w:jc w:val="center"/>
        <w:rPr>
          <w:rFonts w:ascii="Book Antiqua" w:hAnsi="Book Antiqua"/>
          <w:b/>
          <w:bCs/>
          <w:sz w:val="21"/>
          <w:szCs w:val="21"/>
          <w:u w:val="single"/>
          <w:lang w:val="en-GB"/>
        </w:rPr>
      </w:pPr>
      <w:r>
        <w:rPr>
          <w:rFonts w:ascii="Book Antiqua" w:hAnsi="Book Antiqua"/>
          <w:b/>
          <w:bCs/>
          <w:sz w:val="21"/>
          <w:szCs w:val="21"/>
          <w:u w:val="single"/>
          <w:lang w:val="en-GB"/>
        </w:rPr>
        <w:t>SECTION A: QUESTION ONE COMPULSORY (30 MARKS)</w:t>
      </w:r>
    </w:p>
    <w:p w14:paraId="178D7FEA">
      <w:pPr>
        <w:jc w:val="both"/>
        <w:rPr>
          <w:rFonts w:ascii="Book Antiqua" w:hAnsi="Book Antiqua"/>
          <w:bCs/>
          <w:sz w:val="21"/>
          <w:szCs w:val="21"/>
        </w:rPr>
      </w:pPr>
      <w:r>
        <w:rPr>
          <w:rFonts w:ascii="Book Antiqua" w:hAnsi="Book Antiqua"/>
          <w:bCs/>
          <w:sz w:val="21"/>
          <w:szCs w:val="21"/>
        </w:rPr>
        <w:t xml:space="preserve">During the conflict within the Republic of Zanora, civilians are reported to providing information to an armed group about the location of government forces; transporting weapons for the armed group and taking part in armed attacks against government soldiers. Using this narrative; </w:t>
      </w:r>
    </w:p>
    <w:p w14:paraId="313E652A">
      <w:pPr>
        <w:pStyle w:val="8"/>
        <w:numPr>
          <w:ilvl w:val="0"/>
          <w:numId w:val="1"/>
        </w:numPr>
        <w:jc w:val="both"/>
        <w:rPr>
          <w:rFonts w:ascii="Book Antiqua" w:hAnsi="Book Antiqua"/>
          <w:b/>
          <w:bCs/>
          <w:sz w:val="21"/>
          <w:szCs w:val="21"/>
        </w:rPr>
      </w:pPr>
      <w:r>
        <w:rPr>
          <w:rFonts w:ascii="Book Antiqua" w:hAnsi="Book Antiqua"/>
          <w:bCs/>
          <w:sz w:val="21"/>
          <w:szCs w:val="21"/>
        </w:rPr>
        <w:t xml:space="preserve">Discuss the legal issues in the ongoing conflict in terms of the nature, type and the relevant principles of International Humanitarian Law applicable in this scenario </w:t>
      </w:r>
      <w:r>
        <w:rPr>
          <w:rFonts w:ascii="Book Antiqua" w:hAnsi="Book Antiqua"/>
          <w:b/>
          <w:bCs/>
          <w:sz w:val="21"/>
          <w:szCs w:val="21"/>
        </w:rPr>
        <w:t>(15 Marks).</w:t>
      </w:r>
    </w:p>
    <w:p w14:paraId="25FE8369">
      <w:pPr>
        <w:pStyle w:val="8"/>
        <w:numPr>
          <w:ilvl w:val="0"/>
          <w:numId w:val="1"/>
        </w:numPr>
        <w:jc w:val="both"/>
        <w:rPr>
          <w:rFonts w:ascii="Book Antiqua" w:hAnsi="Book Antiqua"/>
          <w:bCs/>
          <w:sz w:val="21"/>
          <w:szCs w:val="21"/>
        </w:rPr>
      </w:pPr>
      <w:r>
        <w:rPr>
          <w:rFonts w:ascii="Book Antiqua" w:hAnsi="Book Antiqua"/>
          <w:bCs/>
          <w:sz w:val="21"/>
          <w:szCs w:val="21"/>
        </w:rPr>
        <w:t>Discuss the concept of direct participation in hostilities under International Humanitarian Law with respect to this scenario and analyse the legal consequences for those civilians and the parties to the conflict.</w:t>
      </w:r>
      <w:r>
        <w:rPr>
          <w:rFonts w:ascii="Book Antiqua" w:hAnsi="Book Antiqua"/>
          <w:sz w:val="21"/>
          <w:szCs w:val="21"/>
        </w:rPr>
        <w:t xml:space="preserve"> </w:t>
      </w:r>
      <w:r>
        <w:rPr>
          <w:rFonts w:ascii="Book Antiqua" w:hAnsi="Book Antiqua"/>
          <w:b/>
          <w:sz w:val="21"/>
          <w:szCs w:val="21"/>
        </w:rPr>
        <w:t>(15 Marks)</w:t>
      </w:r>
    </w:p>
    <w:p w14:paraId="3F618142">
      <w:pPr>
        <w:pStyle w:val="8"/>
        <w:jc w:val="both"/>
        <w:rPr>
          <w:rFonts w:ascii="Book Antiqua" w:hAnsi="Book Antiqua"/>
          <w:bCs/>
          <w:sz w:val="21"/>
          <w:szCs w:val="21"/>
        </w:rPr>
      </w:pPr>
    </w:p>
    <w:p w14:paraId="3366310E">
      <w:pPr>
        <w:pStyle w:val="8"/>
        <w:jc w:val="center"/>
        <w:rPr>
          <w:rFonts w:ascii="Book Antiqua" w:hAnsi="Book Antiqua"/>
          <w:b/>
          <w:sz w:val="21"/>
          <w:szCs w:val="21"/>
          <w:u w:val="single"/>
          <w:lang w:val="en-GB"/>
        </w:rPr>
      </w:pPr>
      <w:bookmarkStart w:id="0" w:name="_GoBack"/>
      <w:r>
        <w:rPr>
          <w:rFonts w:ascii="Book Antiqua" w:hAnsi="Book Antiqua"/>
          <w:b/>
          <w:sz w:val="21"/>
          <w:szCs w:val="21"/>
          <w:u w:val="single"/>
          <w:lang w:val="en-GB"/>
        </w:rPr>
        <w:t>SECTION B: ANSWER ANY TWO QUESTIONS (30 MARKS)</w:t>
      </w:r>
    </w:p>
    <w:p w14:paraId="4667FEF3">
      <w:pPr>
        <w:jc w:val="both"/>
        <w:rPr>
          <w:rFonts w:ascii="Book Antiqua" w:hAnsi="Book Antiqua"/>
          <w:b/>
          <w:sz w:val="21"/>
          <w:szCs w:val="21"/>
        </w:rPr>
      </w:pPr>
      <w:r>
        <w:rPr>
          <w:rFonts w:ascii="Book Antiqua" w:hAnsi="Book Antiqua"/>
          <w:b/>
          <w:sz w:val="21"/>
          <w:szCs w:val="21"/>
        </w:rPr>
        <w:t>QUESTION TWO</w:t>
      </w:r>
    </w:p>
    <w:p w14:paraId="747B2DE8">
      <w:pPr>
        <w:jc w:val="both"/>
        <w:rPr>
          <w:rFonts w:ascii="Book Antiqua" w:hAnsi="Book Antiqua"/>
          <w:b/>
          <w:sz w:val="21"/>
          <w:szCs w:val="21"/>
        </w:rPr>
      </w:pPr>
      <w:r>
        <w:rPr>
          <w:rFonts w:ascii="Book Antiqua" w:hAnsi="Book Antiqua"/>
          <w:bCs/>
          <w:sz w:val="21"/>
          <w:szCs w:val="21"/>
        </w:rPr>
        <w:t>In the ongoing conflict in Tervania, senior military commanders are alleged to have ordered indiscriminate attacks on civilians, forced displacement, and the destruction of civilian property. Discuss how the International Criminal Court can exercise jurisdiction over such violations of International Humanitarian Law and analyse the legal criteria for prosecuting the responsible individuals.</w:t>
      </w:r>
      <w:r>
        <w:rPr>
          <w:rFonts w:ascii="Book Antiqua" w:hAnsi="Book Antiqua"/>
          <w:sz w:val="21"/>
          <w:szCs w:val="21"/>
        </w:rPr>
        <w:t xml:space="preserve"> </w:t>
      </w:r>
      <w:r>
        <w:rPr>
          <w:rFonts w:ascii="Book Antiqua" w:hAnsi="Book Antiqua"/>
          <w:b/>
          <w:sz w:val="21"/>
          <w:szCs w:val="21"/>
        </w:rPr>
        <w:t>(15 Marks)</w:t>
      </w:r>
    </w:p>
    <w:p w14:paraId="1FEFA4B6">
      <w:pPr>
        <w:jc w:val="both"/>
        <w:rPr>
          <w:rFonts w:ascii="Book Antiqua" w:hAnsi="Book Antiqua"/>
          <w:b/>
          <w:sz w:val="21"/>
          <w:szCs w:val="21"/>
        </w:rPr>
      </w:pPr>
      <w:r>
        <w:rPr>
          <w:rFonts w:ascii="Book Antiqua" w:hAnsi="Book Antiqua"/>
          <w:b/>
          <w:sz w:val="21"/>
          <w:szCs w:val="21"/>
        </w:rPr>
        <w:t>QUESTION THREE</w:t>
      </w:r>
    </w:p>
    <w:p w14:paraId="5FE20876">
      <w:pPr>
        <w:jc w:val="both"/>
        <w:rPr>
          <w:rFonts w:ascii="Book Antiqua" w:hAnsi="Book Antiqua"/>
          <w:b/>
          <w:sz w:val="21"/>
          <w:szCs w:val="21"/>
        </w:rPr>
      </w:pPr>
      <w:r>
        <w:rPr>
          <w:rFonts w:ascii="Book Antiqua" w:hAnsi="Book Antiqua"/>
          <w:bCs/>
          <w:sz w:val="21"/>
          <w:szCs w:val="21"/>
        </w:rPr>
        <w:t>During the conflict in Republic of Norland, the neighboring State of Nia is also supporting some of the rebels fighting the Government of Norland. Some parties dispute which legal rules govern the conduct in these hostilities, each relying on different legal justifications. Analyse the sources of International Humanitarian Law applicable to the conflict and explain how these sources create binding obligations on the parties.</w:t>
      </w:r>
      <w:r>
        <w:rPr>
          <w:rFonts w:ascii="Book Antiqua" w:hAnsi="Book Antiqua"/>
          <w:b/>
          <w:sz w:val="21"/>
          <w:szCs w:val="21"/>
        </w:rPr>
        <w:t xml:space="preserve"> (15 Marks)</w:t>
      </w:r>
    </w:p>
    <w:p w14:paraId="4D4A1FC6">
      <w:pPr>
        <w:jc w:val="both"/>
        <w:rPr>
          <w:rFonts w:ascii="Book Antiqua" w:hAnsi="Book Antiqua"/>
          <w:b/>
          <w:sz w:val="21"/>
          <w:szCs w:val="21"/>
        </w:rPr>
      </w:pPr>
      <w:r>
        <w:rPr>
          <w:rFonts w:ascii="Book Antiqua" w:hAnsi="Book Antiqua"/>
          <w:b/>
          <w:sz w:val="21"/>
          <w:szCs w:val="21"/>
        </w:rPr>
        <w:t>QUESTION FOUR</w:t>
      </w:r>
    </w:p>
    <w:p w14:paraId="773EBEC3">
      <w:pPr>
        <w:jc w:val="both"/>
        <w:rPr>
          <w:rFonts w:ascii="Book Antiqua" w:hAnsi="Book Antiqua"/>
          <w:sz w:val="21"/>
          <w:szCs w:val="21"/>
        </w:rPr>
      </w:pPr>
      <w:r>
        <w:rPr>
          <w:rFonts w:ascii="Book Antiqua" w:hAnsi="Book Antiqua"/>
          <w:bCs/>
          <w:sz w:val="21"/>
          <w:szCs w:val="21"/>
        </w:rPr>
        <w:t xml:space="preserve">In the conflict in Rivoria, military medical personnel are attacked while treating the wounded, enemy sailors are captured after a naval engagement, detainees are transferred between camps without safeguards, and civilians are used as human shields during military operations. </w:t>
      </w:r>
      <w:r>
        <w:rPr>
          <w:rFonts w:ascii="Book Antiqua" w:hAnsi="Book Antiqua"/>
          <w:sz w:val="21"/>
          <w:szCs w:val="21"/>
        </w:rPr>
        <w:t xml:space="preserve">Analyse whether any violations of International Humanitarian Law may have occurred. Give reasons for your answer. </w:t>
      </w:r>
      <w:r>
        <w:rPr>
          <w:rFonts w:ascii="Book Antiqua" w:hAnsi="Book Antiqua"/>
          <w:b/>
          <w:sz w:val="21"/>
          <w:szCs w:val="21"/>
        </w:rPr>
        <w:t>(15 Marks)</w:t>
      </w:r>
    </w:p>
    <w:p w14:paraId="0F2535B2">
      <w:pPr>
        <w:jc w:val="both"/>
        <w:rPr>
          <w:rFonts w:ascii="Book Antiqua" w:hAnsi="Book Antiqua"/>
          <w:b/>
          <w:sz w:val="21"/>
          <w:szCs w:val="21"/>
        </w:rPr>
      </w:pPr>
      <w:r>
        <w:rPr>
          <w:rFonts w:ascii="Book Antiqua" w:hAnsi="Book Antiqua"/>
          <w:b/>
          <w:sz w:val="21"/>
          <w:szCs w:val="21"/>
        </w:rPr>
        <w:t>QUESTION FIVE</w:t>
      </w:r>
    </w:p>
    <w:p w14:paraId="48277290">
      <w:pPr>
        <w:jc w:val="both"/>
        <w:rPr>
          <w:rFonts w:ascii="Book Antiqua" w:hAnsi="Book Antiqua"/>
          <w:sz w:val="21"/>
          <w:szCs w:val="21"/>
        </w:rPr>
      </w:pPr>
      <w:r>
        <w:rPr>
          <w:rFonts w:ascii="Book Antiqua" w:hAnsi="Book Antiqua"/>
          <w:bCs/>
          <w:sz w:val="21"/>
          <w:szCs w:val="21"/>
        </w:rPr>
        <w:t>During the conflict in Korania, government forces capture several fighters, some in uniform and part of the official armed forces, others fighting without uniforms or for a non-state armed group. Identify which fighters are lawful and unlawful combatants, explain the protections and obligations under IHL for each, apply the rules to the scenario, and analyse the practical implications of their classification.</w:t>
      </w:r>
      <w:r>
        <w:rPr>
          <w:rFonts w:ascii="Book Antiqua" w:hAnsi="Book Antiqua"/>
          <w:sz w:val="21"/>
          <w:szCs w:val="21"/>
        </w:rPr>
        <w:t xml:space="preserve"> </w:t>
      </w:r>
      <w:r>
        <w:rPr>
          <w:rFonts w:ascii="Book Antiqua" w:hAnsi="Book Antiqua"/>
          <w:b/>
          <w:sz w:val="21"/>
          <w:szCs w:val="21"/>
        </w:rPr>
        <w:t>(15 Marks)</w:t>
      </w:r>
    </w:p>
    <w:p w14:paraId="223F315A">
      <w:pPr>
        <w:jc w:val="both"/>
        <w:rPr>
          <w:rFonts w:ascii="Book Antiqua" w:hAnsi="Book Antiqua"/>
        </w:rPr>
      </w:pPr>
    </w:p>
    <w:bookmarkEnd w:id="0"/>
    <w:sectPr>
      <w:footerReference r:id="rId5" w:type="default"/>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Book Antiqua">
    <w:panose1 w:val="02040602050305030304"/>
    <w:charset w:val="00"/>
    <w:family w:val="roman"/>
    <w:pitch w:val="default"/>
    <w:sig w:usb0="00000287" w:usb1="00000000" w:usb2="00000000" w:usb3="00000000" w:csb0="2000009F" w:csb1="DFD7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08069678"/>
      <w:docPartObj>
        <w:docPartGallery w:val="AutoText"/>
      </w:docPartObj>
    </w:sdtPr>
    <w:sdtContent>
      <w:p w14:paraId="693D9466">
        <w:pPr>
          <w:pStyle w:val="5"/>
          <w:jc w:val="center"/>
        </w:pPr>
        <w:r>
          <w:fldChar w:fldCharType="begin"/>
        </w:r>
        <w:r>
          <w:instrText xml:space="preserve"> PAGE   \* MERGEFORMAT </w:instrText>
        </w:r>
        <w:r>
          <w:fldChar w:fldCharType="separate"/>
        </w:r>
        <w:r>
          <w:t>1</w:t>
        </w:r>
        <w:r>
          <w:fldChar w:fldCharType="end"/>
        </w:r>
      </w:p>
    </w:sdtContent>
  </w:sdt>
  <w:p w14:paraId="27AE7762">
    <w:pPr>
      <w:pStyle w:val="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BDD7DE7"/>
    <w:multiLevelType w:val="multilevel"/>
    <w:tmpl w:val="2BDD7DE7"/>
    <w:lvl w:ilvl="0" w:tentative="0">
      <w:start w:val="1"/>
      <w:numFmt w:val="lowerLetter"/>
      <w:lvlText w:val="%1)"/>
      <w:lvlJc w:val="left"/>
      <w:pPr>
        <w:ind w:left="720" w:hanging="360"/>
      </w:pPr>
      <w:rPr>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94C"/>
    <w:rsid w:val="000F3936"/>
    <w:rsid w:val="00183C51"/>
    <w:rsid w:val="001A294C"/>
    <w:rsid w:val="00225C3F"/>
    <w:rsid w:val="00293582"/>
    <w:rsid w:val="00364457"/>
    <w:rsid w:val="007A761E"/>
    <w:rsid w:val="00944C01"/>
    <w:rsid w:val="00AE4BD3"/>
    <w:rsid w:val="00CF3AA8"/>
    <w:rsid w:val="00E35DB9"/>
    <w:rsid w:val="00F66C31"/>
    <w:rsid w:val="231035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7"/>
    <w:semiHidden/>
    <w:unhideWhenUsed/>
    <w:uiPriority w:val="99"/>
    <w:pPr>
      <w:spacing w:after="0" w:line="240" w:lineRule="auto"/>
    </w:pPr>
    <w:rPr>
      <w:rFonts w:ascii="Tahoma" w:hAnsi="Tahoma" w:cs="Tahoma"/>
      <w:sz w:val="16"/>
      <w:szCs w:val="16"/>
    </w:rPr>
  </w:style>
  <w:style w:type="paragraph" w:styleId="5">
    <w:name w:val="footer"/>
    <w:basedOn w:val="1"/>
    <w:link w:val="10"/>
    <w:unhideWhenUsed/>
    <w:qFormat/>
    <w:uiPriority w:val="99"/>
    <w:pPr>
      <w:tabs>
        <w:tab w:val="center" w:pos="4680"/>
        <w:tab w:val="right" w:pos="9360"/>
      </w:tabs>
      <w:spacing w:after="0" w:line="240" w:lineRule="auto"/>
    </w:pPr>
  </w:style>
  <w:style w:type="paragraph" w:styleId="6">
    <w:name w:val="header"/>
    <w:basedOn w:val="1"/>
    <w:link w:val="9"/>
    <w:unhideWhenUsed/>
    <w:qFormat/>
    <w:uiPriority w:val="99"/>
    <w:pPr>
      <w:tabs>
        <w:tab w:val="center" w:pos="4680"/>
        <w:tab w:val="right" w:pos="9360"/>
      </w:tabs>
      <w:spacing w:after="0" w:line="240" w:lineRule="auto"/>
    </w:pPr>
  </w:style>
  <w:style w:type="character" w:customStyle="1" w:styleId="7">
    <w:name w:val="Balloon Text Char"/>
    <w:basedOn w:val="2"/>
    <w:link w:val="4"/>
    <w:semiHidden/>
    <w:qFormat/>
    <w:uiPriority w:val="99"/>
    <w:rPr>
      <w:rFonts w:ascii="Tahoma" w:hAnsi="Tahoma" w:cs="Tahoma"/>
      <w:sz w:val="16"/>
      <w:szCs w:val="16"/>
    </w:rPr>
  </w:style>
  <w:style w:type="paragraph" w:styleId="8">
    <w:name w:val="List Paragraph"/>
    <w:basedOn w:val="1"/>
    <w:qFormat/>
    <w:uiPriority w:val="34"/>
    <w:pPr>
      <w:ind w:left="720"/>
      <w:contextualSpacing/>
    </w:pPr>
  </w:style>
  <w:style w:type="character" w:customStyle="1" w:styleId="9">
    <w:name w:val="Header Char"/>
    <w:basedOn w:val="2"/>
    <w:link w:val="6"/>
    <w:uiPriority w:val="99"/>
  </w:style>
  <w:style w:type="character" w:customStyle="1" w:styleId="10">
    <w:name w:val="Footer Char"/>
    <w:basedOn w:val="2"/>
    <w:link w:val="5"/>
    <w:qFormat/>
    <w:uiPriority w:val="99"/>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582</Words>
  <Characters>3243</Characters>
  <Lines>27</Lines>
  <Paragraphs>7</Paragraphs>
  <TotalTime>47</TotalTime>
  <ScaleCrop>false</ScaleCrop>
  <LinksUpToDate>false</LinksUpToDate>
  <CharactersWithSpaces>3801</CharactersWithSpaces>
  <Application>WPS Office_12.1.0.25242_F1E327BC-269C-435d-A152-05C5408002CA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2026-02-18T10:16:00Z</dcterms:created>
  <dc:creator>Teddy</dc:creator>
  <cp:lastModifiedBy>WPS_1777892763</cp:lastModifiedBy>
  <dcterms:modified xsi:type="dcterms:W3CDTF">2026-05-07T14:42:52Z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eyJoZGlkIjoiZGM5NmZkODYyNDc1ZDUxNWM5ZjNhZjhjZWYxZDhkODYiLCJ1c2VySWQiOiIxNDk4MDg0NzIwOTkxMiJ9</vt:lpwstr>
  </property>
  <property fmtid="{D5CDD505-2E9C-101B-9397-08002B2CF9AE}" pid="3" name="KSOProductBuildVer">
    <vt:lpwstr>1033-12.1.0.25242</vt:lpwstr>
  </property>
  <property fmtid="{D5CDD505-2E9C-101B-9397-08002B2CF9AE}" pid="4" name="ICV">
    <vt:lpwstr>3044484C5DB54A7E92898D455088DC61_12</vt:lpwstr>
  </property>
</Properties>
</file>