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283D" w:rsidRDefault="00210EB2">
      <w:pPr>
        <w:spacing w:after="0" w:line="360" w:lineRule="auto"/>
        <w:jc w:val="center"/>
        <w:rPr>
          <w:rFonts w:ascii="Times New Roman" w:hAnsi="Times New Roman" w:cs="Times New Roman"/>
          <w:b/>
        </w:rPr>
      </w:pPr>
      <w:bookmarkStart w:id="0" w:name="_GoBack"/>
      <w:bookmarkEnd w:id="0"/>
      <w:r>
        <w:rPr>
          <w:rFonts w:ascii="Times New Roman" w:hAnsi="Times New Roman" w:cs="Times New Roman"/>
          <w:noProof/>
          <w:lang w:val="en-US" w:eastAsia="en-US"/>
        </w:rPr>
        <w:drawing>
          <wp:inline distT="0" distB="0" distL="0" distR="0">
            <wp:extent cx="1537970" cy="1332230"/>
            <wp:effectExtent l="0" t="0" r="0" b="127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47486" cy="1341104"/>
                    </a:xfrm>
                    <a:prstGeom prst="rect">
                      <a:avLst/>
                    </a:prstGeom>
                    <a:noFill/>
                    <a:ln>
                      <a:noFill/>
                    </a:ln>
                  </pic:spPr>
                </pic:pic>
              </a:graphicData>
            </a:graphic>
          </wp:inline>
        </w:drawing>
      </w:r>
    </w:p>
    <w:p w:rsidR="003A283D" w:rsidRDefault="00210EB2">
      <w:pPr>
        <w:spacing w:after="0" w:line="360" w:lineRule="auto"/>
        <w:jc w:val="center"/>
        <w:rPr>
          <w:rFonts w:ascii="Times New Roman" w:hAnsi="Times New Roman" w:cs="Times New Roman"/>
          <w:b/>
        </w:rPr>
      </w:pPr>
      <w:r>
        <w:rPr>
          <w:rFonts w:ascii="Times New Roman" w:hAnsi="Times New Roman" w:cs="Times New Roman"/>
          <w:b/>
        </w:rPr>
        <w:t>RIARA LAW SCHOOL</w:t>
      </w:r>
    </w:p>
    <w:p w:rsidR="003A283D" w:rsidRDefault="00210EB2">
      <w:pPr>
        <w:spacing w:after="0" w:line="360" w:lineRule="auto"/>
        <w:jc w:val="center"/>
        <w:rPr>
          <w:rFonts w:ascii="Times New Roman" w:hAnsi="Times New Roman" w:cs="Times New Roman"/>
          <w:b/>
        </w:rPr>
      </w:pPr>
      <w:r>
        <w:rPr>
          <w:rFonts w:ascii="Times New Roman" w:hAnsi="Times New Roman" w:cs="Times New Roman"/>
          <w:b/>
        </w:rPr>
        <w:t>UNIVERSITY OF EXAMINATION FOR BACHELOR OF LAWS (LLB) DEGREE</w:t>
      </w:r>
    </w:p>
    <w:p w:rsidR="003A283D" w:rsidRDefault="00210EB2">
      <w:pPr>
        <w:spacing w:after="0" w:line="360" w:lineRule="auto"/>
        <w:jc w:val="center"/>
        <w:rPr>
          <w:rFonts w:ascii="Times New Roman" w:hAnsi="Times New Roman" w:cs="Times New Roman"/>
          <w:b/>
        </w:rPr>
      </w:pPr>
      <w:r>
        <w:rPr>
          <w:rFonts w:ascii="Times New Roman" w:hAnsi="Times New Roman" w:cs="Times New Roman"/>
          <w:b/>
        </w:rPr>
        <w:t>AND</w:t>
      </w:r>
    </w:p>
    <w:p w:rsidR="003A283D" w:rsidRDefault="00210EB2">
      <w:pPr>
        <w:spacing w:after="0" w:line="360" w:lineRule="auto"/>
        <w:jc w:val="center"/>
        <w:rPr>
          <w:rFonts w:ascii="Times New Roman" w:hAnsi="Times New Roman" w:cs="Times New Roman"/>
          <w:b/>
        </w:rPr>
      </w:pPr>
      <w:r>
        <w:rPr>
          <w:rFonts w:ascii="Times New Roman" w:hAnsi="Times New Roman" w:cs="Times New Roman"/>
          <w:b/>
        </w:rPr>
        <w:t>PRE-KENYA SCHOOL OF LAW CORE COURSES COMPLIANCE PROGRAM</w:t>
      </w:r>
    </w:p>
    <w:p w:rsidR="003A283D" w:rsidRDefault="00210EB2">
      <w:pPr>
        <w:spacing w:after="0" w:line="360" w:lineRule="auto"/>
        <w:jc w:val="center"/>
        <w:rPr>
          <w:rFonts w:ascii="Times New Roman" w:hAnsi="Times New Roman" w:cs="Times New Roman"/>
          <w:b/>
        </w:rPr>
      </w:pPr>
      <w:r>
        <w:rPr>
          <w:rFonts w:ascii="Times New Roman" w:hAnsi="Times New Roman" w:cs="Times New Roman"/>
          <w:b/>
        </w:rPr>
        <w:t>AUGUST 2025</w:t>
      </w:r>
    </w:p>
    <w:p w:rsidR="003A283D" w:rsidRDefault="00210EB2">
      <w:pPr>
        <w:spacing w:after="0" w:line="360" w:lineRule="auto"/>
        <w:jc w:val="center"/>
        <w:rPr>
          <w:rFonts w:ascii="Times New Roman" w:hAnsi="Times New Roman" w:cs="Times New Roman"/>
          <w:b/>
        </w:rPr>
      </w:pPr>
      <w:r>
        <w:rPr>
          <w:rFonts w:ascii="Times New Roman" w:hAnsi="Times New Roman" w:cs="Times New Roman"/>
          <w:b/>
        </w:rPr>
        <w:t>RLB 205. EVIDENCE LAW I</w:t>
      </w:r>
    </w:p>
    <w:p w:rsidR="003A283D" w:rsidRDefault="00210EB2">
      <w:pPr>
        <w:spacing w:after="0" w:line="360" w:lineRule="auto"/>
        <w:jc w:val="center"/>
        <w:rPr>
          <w:rFonts w:ascii="Times New Roman" w:hAnsi="Times New Roman" w:cs="Times New Roman"/>
          <w:b/>
        </w:rPr>
      </w:pPr>
      <w:r>
        <w:rPr>
          <w:rFonts w:ascii="Times New Roman" w:hAnsi="Times New Roman" w:cs="Times New Roman"/>
          <w:b/>
        </w:rPr>
        <w:t>INSTRUCTOR: MS. CATHERINE MUTUNGI</w:t>
      </w:r>
    </w:p>
    <w:p w:rsidR="003A283D" w:rsidRDefault="00210EB2">
      <w:pPr>
        <w:spacing w:after="0" w:line="360" w:lineRule="auto"/>
        <w:jc w:val="center"/>
        <w:rPr>
          <w:rFonts w:ascii="Times New Roman" w:hAnsi="Times New Roman" w:cs="Times New Roman"/>
          <w:b/>
          <w:u w:val="single"/>
        </w:rPr>
      </w:pPr>
      <w:r>
        <w:rPr>
          <w:rFonts w:ascii="Times New Roman" w:hAnsi="Times New Roman" w:cs="Times New Roman"/>
          <w:b/>
          <w:u w:val="single"/>
        </w:rPr>
        <w:t>INSTRUCTIONS</w:t>
      </w:r>
    </w:p>
    <w:p w:rsidR="003A283D" w:rsidRDefault="00210EB2">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This is the final examination in </w:t>
      </w:r>
      <w:r>
        <w:rPr>
          <w:rFonts w:ascii="Times New Roman" w:hAnsi="Times New Roman" w:cs="Times New Roman"/>
        </w:rPr>
        <w:t>Evidence Law I.  You will earn 70% of your final grade from this final examination and 30% from Continuous Assessment Assignments.</w:t>
      </w:r>
    </w:p>
    <w:p w:rsidR="003A283D" w:rsidRDefault="00210EB2">
      <w:pPr>
        <w:pStyle w:val="ListParagraph"/>
        <w:numPr>
          <w:ilvl w:val="0"/>
          <w:numId w:val="1"/>
        </w:numPr>
        <w:spacing w:after="0" w:line="360" w:lineRule="auto"/>
        <w:jc w:val="both"/>
        <w:rPr>
          <w:rFonts w:ascii="Times New Roman" w:hAnsi="Times New Roman" w:cs="Times New Roman"/>
          <w:b/>
          <w:bCs/>
          <w:u w:val="single"/>
        </w:rPr>
      </w:pPr>
      <w:r>
        <w:rPr>
          <w:rFonts w:ascii="Times New Roman" w:hAnsi="Times New Roman" w:cs="Times New Roman"/>
        </w:rPr>
        <w:t xml:space="preserve">This examination has </w:t>
      </w:r>
      <w:r>
        <w:rPr>
          <w:rFonts w:ascii="Times New Roman" w:hAnsi="Times New Roman" w:cs="Times New Roman"/>
          <w:b/>
          <w:u w:val="single"/>
        </w:rPr>
        <w:t>FOUR</w:t>
      </w:r>
      <w:r>
        <w:rPr>
          <w:rFonts w:ascii="Times New Roman" w:hAnsi="Times New Roman" w:cs="Times New Roman"/>
        </w:rPr>
        <w:t xml:space="preserve"> questions. </w:t>
      </w:r>
      <w:bookmarkStart w:id="1" w:name="_Hlk190895495"/>
      <w:r>
        <w:rPr>
          <w:rFonts w:ascii="Times New Roman" w:hAnsi="Times New Roman" w:cs="Times New Roman"/>
          <w:b/>
          <w:bCs/>
        </w:rPr>
        <w:t xml:space="preserve">QUESTIONS ONE IS COMPULSORY AND YOU CAN ANSWER ANY OTHER TWO QUESTIONS. </w:t>
      </w:r>
    </w:p>
    <w:bookmarkEnd w:id="1"/>
    <w:p w:rsidR="003A283D" w:rsidRDefault="00210EB2">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The examination</w:t>
      </w:r>
      <w:r>
        <w:rPr>
          <w:rFonts w:ascii="Times New Roman" w:hAnsi="Times New Roman" w:cs="Times New Roman"/>
        </w:rPr>
        <w:t xml:space="preserve"> has 3 pages, including this one.</w:t>
      </w:r>
    </w:p>
    <w:p w:rsidR="003A283D" w:rsidRDefault="00210EB2">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Time allocated for this examination is </w:t>
      </w:r>
      <w:r>
        <w:rPr>
          <w:rFonts w:ascii="Times New Roman" w:hAnsi="Times New Roman" w:cs="Times New Roman"/>
          <w:b/>
          <w:u w:val="single"/>
        </w:rPr>
        <w:t>TWO HRS</w:t>
      </w:r>
      <w:r>
        <w:rPr>
          <w:rFonts w:ascii="Times New Roman" w:hAnsi="Times New Roman" w:cs="Times New Roman"/>
        </w:rPr>
        <w:t xml:space="preserve"> (2) hours.  You must stop writing when time is called.</w:t>
      </w:r>
    </w:p>
    <w:p w:rsidR="003A283D" w:rsidRDefault="00210EB2">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Please sign the roll sheet when you turn in you answer sheet.  If you fail to sign the roll sheet, we shall have no way </w:t>
      </w:r>
      <w:r>
        <w:rPr>
          <w:rFonts w:ascii="Times New Roman" w:hAnsi="Times New Roman" w:cs="Times New Roman"/>
        </w:rPr>
        <w:t>of establishing that you sat for this examination and your marks will not be reported.</w:t>
      </w:r>
    </w:p>
    <w:p w:rsidR="003A283D" w:rsidRDefault="00210EB2">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permitted to bring ANY hard or soft materials to the examination room.  You re also not allowed to access mate</w:t>
      </w:r>
      <w:r>
        <w:rPr>
          <w:rFonts w:ascii="Times New Roman" w:hAnsi="Times New Roman" w:cs="Times New Roman"/>
        </w:rPr>
        <w:t>rials stored in computers, electronic gadgets or the internet.  You should not bring to the examination room any of the following: cell phones, tablets, computers, statutes, notes, outlines, or books.  Neither should you bring to the examination room books</w:t>
      </w:r>
      <w:r>
        <w:rPr>
          <w:rFonts w:ascii="Times New Roman" w:hAnsi="Times New Roman" w:cs="Times New Roman"/>
        </w:rPr>
        <w:t xml:space="preserve"> or materials unrelated to this course.  If you need to have medicine or food items with you, please let the invigilator know before the examination begins.</w:t>
      </w:r>
    </w:p>
    <w:p w:rsidR="003A283D" w:rsidRDefault="00210EB2">
      <w:pPr>
        <w:pStyle w:val="ListParagraph"/>
        <w:numPr>
          <w:ilvl w:val="0"/>
          <w:numId w:val="1"/>
        </w:numPr>
        <w:spacing w:after="0" w:line="360" w:lineRule="auto"/>
        <w:jc w:val="both"/>
        <w:rPr>
          <w:rFonts w:ascii="Times New Roman" w:hAnsi="Times New Roman" w:cs="Times New Roman"/>
        </w:rPr>
      </w:pPr>
      <w:r>
        <w:rPr>
          <w:rFonts w:ascii="Times New Roman" w:hAnsi="Times New Roman" w:cs="Times New Roman"/>
        </w:rPr>
        <w:t xml:space="preserve">This examination is governed by </w:t>
      </w:r>
      <w:r>
        <w:rPr>
          <w:rFonts w:ascii="Times New Roman" w:hAnsi="Times New Roman" w:cs="Times New Roman"/>
          <w:b/>
        </w:rPr>
        <w:t>Riara University Academic Honesty Regulations.</w:t>
      </w:r>
      <w:r>
        <w:rPr>
          <w:rFonts w:ascii="Times New Roman" w:hAnsi="Times New Roman" w:cs="Times New Roman"/>
        </w:rPr>
        <w:t xml:space="preserve"> Students who violate</w:t>
      </w:r>
      <w:r>
        <w:rPr>
          <w:rFonts w:ascii="Times New Roman" w:hAnsi="Times New Roman" w:cs="Times New Roman"/>
        </w:rPr>
        <w:t xml:space="preserve"> those regulations will be penalized.  Students have an obligation to report to the invigilator any incidences of academic dishonesty compromising the integrity of this examination.</w:t>
      </w:r>
    </w:p>
    <w:p w:rsidR="003A283D" w:rsidRDefault="003A283D">
      <w:pPr>
        <w:shd w:val="clear" w:color="auto" w:fill="FFFFFF"/>
        <w:spacing w:after="0" w:line="360" w:lineRule="auto"/>
        <w:jc w:val="both"/>
        <w:rPr>
          <w:rFonts w:ascii="Times New Roman" w:eastAsia="Times New Roman" w:hAnsi="Times New Roman" w:cs="Times New Roman"/>
          <w:b/>
          <w:bCs/>
          <w:color w:val="222222"/>
          <w:kern w:val="0"/>
          <w14:ligatures w14:val="none"/>
        </w:rPr>
      </w:pP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b/>
          <w:bCs/>
          <w:color w:val="222222"/>
          <w:kern w:val="0"/>
          <w14:ligatures w14:val="none"/>
        </w:rPr>
        <w:lastRenderedPageBreak/>
        <w:t>QUESTION ONE</w:t>
      </w: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The Appeal at the High Court arose from the disputed burial of Mzee Mcheketo a polygamist billionaire who died intestate. At the trial suit filed before the Chief Magistrates Court by Hamira the last wife against Minaa, Ebba and Maria his other wives. They</w:t>
      </w:r>
      <w:r>
        <w:rPr>
          <w:rFonts w:ascii="Times New Roman" w:eastAsia="Times New Roman" w:hAnsi="Times New Roman" w:cs="Times New Roman"/>
          <w:color w:val="222222"/>
          <w:kern w:val="0"/>
          <w14:ligatures w14:val="none"/>
        </w:rPr>
        <w:t xml:space="preserve"> are said to have ganged up against Hamira to disinherit her and her children. The three wives contended that Hamira is not a wife according to the customs of the Watuta people. They therefore stopped Hamira and her children from attending the burial cerem</w:t>
      </w:r>
      <w:r>
        <w:rPr>
          <w:rFonts w:ascii="Times New Roman" w:eastAsia="Times New Roman" w:hAnsi="Times New Roman" w:cs="Times New Roman"/>
          <w:color w:val="222222"/>
          <w:kern w:val="0"/>
          <w14:ligatures w14:val="none"/>
        </w:rPr>
        <w:t xml:space="preserve">ony causing Hamira to run to Court to stop the dispute. </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The Magistrate in her determination of the suit, dismissed Hamira’s case. Hamira dissatisfied with the Court's decision. The Memorandum of Appeal she filed read as follows;</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pStyle w:val="ListParagraph"/>
        <w:numPr>
          <w:ilvl w:val="0"/>
          <w:numId w:val="2"/>
        </w:num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color w:val="222222"/>
          <w:kern w:val="0"/>
          <w14:ligatures w14:val="none"/>
        </w:rPr>
        <w:t xml:space="preserve">That the Magistrates erred in law by admitting the testimony of Minaa who is well known to be mentally unstable. The Magistrate found that she did not find anything in law to stop Minaa from testifying. </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b/>
          <w:bCs/>
          <w:color w:val="222222"/>
          <w:kern w:val="0"/>
          <w14:ligatures w14:val="none"/>
        </w:rPr>
        <w:t xml:space="preserve">(6 marks) </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pStyle w:val="ListParagraph"/>
        <w:numPr>
          <w:ilvl w:val="0"/>
          <w:numId w:val="2"/>
        </w:num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That the Magistrates erred in law b</w:t>
      </w:r>
      <w:r>
        <w:rPr>
          <w:rFonts w:ascii="Times New Roman" w:eastAsia="Times New Roman" w:hAnsi="Times New Roman" w:cs="Times New Roman"/>
          <w:color w:val="222222"/>
          <w:kern w:val="0"/>
          <w14:ligatures w14:val="none"/>
        </w:rPr>
        <w:t xml:space="preserve">y not following the legal procedure and requirements before admitting the evidence of Meta, a 9-year-old child of Ebba. </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t xml:space="preserve">   </w:t>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color w:val="222222"/>
          <w:kern w:val="0"/>
          <w:lang w:val="en-US"/>
          <w14:ligatures w14:val="none"/>
        </w:rPr>
        <w:tab/>
      </w:r>
      <w:r>
        <w:rPr>
          <w:rFonts w:ascii="Times New Roman" w:eastAsia="Times New Roman" w:hAnsi="Times New Roman" w:cs="Times New Roman"/>
          <w:b/>
          <w:bCs/>
          <w:color w:val="222222"/>
          <w:kern w:val="0"/>
          <w14:ligatures w14:val="none"/>
        </w:rPr>
        <w:t>(6 marks)</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pStyle w:val="ListParagraph"/>
        <w:numPr>
          <w:ilvl w:val="0"/>
          <w:numId w:val="2"/>
        </w:num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color w:val="222222"/>
          <w:kern w:val="0"/>
          <w14:ligatures w14:val="none"/>
        </w:rPr>
        <w:t>That the Magistrates erred in law by admitting testimony of Maria to the effect that Hamira as a notorious woma</w:t>
      </w:r>
      <w:r>
        <w:rPr>
          <w:rFonts w:ascii="Times New Roman" w:eastAsia="Times New Roman" w:hAnsi="Times New Roman" w:cs="Times New Roman"/>
          <w:color w:val="222222"/>
          <w:kern w:val="0"/>
          <w14:ligatures w14:val="none"/>
        </w:rPr>
        <w:t>n known for her tendency to claim to be married to rich old men who are in their death beds with the intent of inheriting and benefitting from their wealth when they die. She said that Hamira had previously been married to three old men in other villages a</w:t>
      </w:r>
      <w:r>
        <w:rPr>
          <w:rFonts w:ascii="Times New Roman" w:eastAsia="Times New Roman" w:hAnsi="Times New Roman" w:cs="Times New Roman"/>
          <w:color w:val="222222"/>
          <w:kern w:val="0"/>
          <w14:ligatures w14:val="none"/>
        </w:rPr>
        <w:t xml:space="preserve">s they were about to die. </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b/>
          <w:bCs/>
          <w:color w:val="222222"/>
          <w:kern w:val="0"/>
          <w14:ligatures w14:val="none"/>
        </w:rPr>
        <w:t>(6 marks)</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pStyle w:val="ListParagraph"/>
        <w:numPr>
          <w:ilvl w:val="0"/>
          <w:numId w:val="2"/>
        </w:num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That the Magistrate erred in law by rejecting the testimony of Hamira that just a moment before his death Mzee Mcheketo told her that he was dying due to poisoning by Ebba his second wife.</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t xml:space="preserve"> </w:t>
      </w:r>
      <w:r>
        <w:rPr>
          <w:rFonts w:ascii="Times New Roman" w:eastAsia="Times New Roman" w:hAnsi="Times New Roman" w:cs="Times New Roman"/>
          <w:b/>
          <w:bCs/>
          <w:color w:val="222222"/>
          <w:kern w:val="0"/>
          <w14:ligatures w14:val="none"/>
        </w:rPr>
        <w:t xml:space="preserve">(6 marks) </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pStyle w:val="ListParagraph"/>
        <w:numPr>
          <w:ilvl w:val="0"/>
          <w:numId w:val="2"/>
        </w:num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That th</w:t>
      </w:r>
      <w:r>
        <w:rPr>
          <w:rFonts w:ascii="Times New Roman" w:eastAsia="Times New Roman" w:hAnsi="Times New Roman" w:cs="Times New Roman"/>
          <w:color w:val="222222"/>
          <w:kern w:val="0"/>
          <w14:ligatures w14:val="none"/>
        </w:rPr>
        <w:t xml:space="preserve">e Magistrate in holding that Hamira has not proved her case erred in applying an extremely high standard of proof in the burial dispute case which standard is only used in cases involving murder fraud theft etc </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b/>
          <w:bCs/>
          <w:color w:val="222222"/>
          <w:kern w:val="0"/>
          <w14:ligatures w14:val="none"/>
        </w:rPr>
        <w:t>(6 marks)</w:t>
      </w:r>
      <w:r>
        <w:rPr>
          <w:rFonts w:ascii="Times New Roman" w:eastAsia="Times New Roman" w:hAnsi="Times New Roman" w:cs="Times New Roman"/>
          <w:color w:val="222222"/>
          <w:kern w:val="0"/>
          <w14:ligatures w14:val="none"/>
        </w:rPr>
        <w:t xml:space="preserve"> </w:t>
      </w:r>
    </w:p>
    <w:p w:rsidR="003A283D" w:rsidRDefault="00210EB2">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color w:val="222222"/>
          <w:kern w:val="0"/>
          <w14:ligatures w14:val="none"/>
        </w:rPr>
        <w:lastRenderedPageBreak/>
        <w:t>Highlighting the principles, s</w:t>
      </w:r>
      <w:r>
        <w:rPr>
          <w:rFonts w:ascii="Times New Roman" w:eastAsia="Times New Roman" w:hAnsi="Times New Roman" w:cs="Times New Roman"/>
          <w:color w:val="222222"/>
          <w:kern w:val="0"/>
          <w14:ligatures w14:val="none"/>
        </w:rPr>
        <w:t>tatute provisions and precedents on the rule of evidence, prepare a legal opinion for the Judges in the appeal guiding the judge on the position in law on all the above grounds raised by Hamira.</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b/>
          <w:bCs/>
          <w:color w:val="222222"/>
          <w:kern w:val="0"/>
          <w14:ligatures w14:val="none"/>
        </w:rPr>
        <w:t xml:space="preserve">        (30 marks)</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b/>
          <w:bCs/>
          <w:color w:val="222222"/>
          <w:kern w:val="0"/>
          <w14:ligatures w14:val="none"/>
        </w:rPr>
        <w:t>QUESTION TWO</w:t>
      </w: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Expert Opinion will rem</w:t>
      </w:r>
      <w:r>
        <w:rPr>
          <w:rFonts w:ascii="Times New Roman" w:eastAsia="Times New Roman" w:hAnsi="Times New Roman" w:cs="Times New Roman"/>
          <w:color w:val="222222"/>
          <w:kern w:val="0"/>
          <w14:ligatures w14:val="none"/>
        </w:rPr>
        <w:t>ain opinion in the eyes of the Law, but the same has been treated by our Courts more than often as an automatic indictment just because of the word expert annexed to it leading to a miscarriage of justice. The lawyers have in addition failed to help the Co</w:t>
      </w:r>
      <w:r>
        <w:rPr>
          <w:rFonts w:ascii="Times New Roman" w:eastAsia="Times New Roman" w:hAnsi="Times New Roman" w:cs="Times New Roman"/>
          <w:color w:val="222222"/>
          <w:kern w:val="0"/>
          <w14:ligatures w14:val="none"/>
        </w:rPr>
        <w:t xml:space="preserve">urts test the same line with the Frye and Daubert standards. Elaborate on this statement in respect to admissibility of </w:t>
      </w: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DNA</w:t>
      </w: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 xml:space="preserve">Handwriting </w:t>
      </w: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Fingerprints</w:t>
      </w:r>
    </w:p>
    <w:p w:rsidR="003A283D" w:rsidRDefault="00210EB2">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color w:val="222222"/>
          <w:kern w:val="0"/>
          <w14:ligatures w14:val="none"/>
        </w:rPr>
        <w:t xml:space="preserve">Ballistic expert opinions </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b/>
          <w:bCs/>
          <w:color w:val="222222"/>
          <w:kern w:val="0"/>
          <w14:ligatures w14:val="none"/>
        </w:rPr>
        <w:t>(20 marks)</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b/>
          <w:bCs/>
          <w:color w:val="222222"/>
          <w:kern w:val="0"/>
          <w14:ligatures w14:val="none"/>
        </w:rPr>
        <w:t>QUESTION THREE</w:t>
      </w: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Relevant and otherwise admissible evidence m</w:t>
      </w:r>
      <w:r>
        <w:rPr>
          <w:rFonts w:ascii="Times New Roman" w:eastAsia="Times New Roman" w:hAnsi="Times New Roman" w:cs="Times New Roman"/>
          <w:color w:val="222222"/>
          <w:kern w:val="0"/>
          <w14:ligatures w14:val="none"/>
        </w:rPr>
        <w:t>ay be excluded when its evidential value at the trial is outweighed by some public interest extrinsic to the trial process. Moreover, our law sometimes entitles certain people whether parties to litigation or witnesses to refuse to disclose evidence that i</w:t>
      </w:r>
      <w:r>
        <w:rPr>
          <w:rFonts w:ascii="Times New Roman" w:eastAsia="Times New Roman" w:hAnsi="Times New Roman" w:cs="Times New Roman"/>
          <w:color w:val="222222"/>
          <w:kern w:val="0"/>
          <w14:ligatures w14:val="none"/>
        </w:rPr>
        <w:t>s otherwise relevant and admissible. – Anonymous</w:t>
      </w:r>
    </w:p>
    <w:p w:rsidR="003A283D" w:rsidRDefault="00210EB2">
      <w:pPr>
        <w:shd w:val="clear" w:color="auto" w:fill="FFFFFF"/>
        <w:spacing w:after="0" w:line="360" w:lineRule="auto"/>
        <w:jc w:val="both"/>
        <w:rPr>
          <w:rFonts w:ascii="Times New Roman" w:eastAsia="Times New Roman" w:hAnsi="Times New Roman" w:cs="Times New Roman"/>
          <w:color w:val="222222"/>
          <w:kern w:val="0"/>
          <w14:ligatures w14:val="none"/>
        </w:rPr>
      </w:pPr>
      <w:r>
        <w:rPr>
          <w:rFonts w:ascii="Times New Roman" w:eastAsia="Times New Roman" w:hAnsi="Times New Roman" w:cs="Times New Roman"/>
          <w:color w:val="222222"/>
          <w:kern w:val="0"/>
          <w14:ligatures w14:val="none"/>
        </w:rPr>
        <w:t xml:space="preserve">Discuss the legal concepts embodied in the above quote. </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b/>
          <w:bCs/>
          <w:color w:val="222222"/>
          <w:kern w:val="0"/>
          <w14:ligatures w14:val="none"/>
        </w:rPr>
        <w:t>(20 marks)</w:t>
      </w: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210EB2">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b/>
          <w:bCs/>
          <w:color w:val="222222"/>
          <w:kern w:val="0"/>
          <w14:ligatures w14:val="none"/>
        </w:rPr>
        <w:t>QUESTION FOUR</w:t>
      </w:r>
    </w:p>
    <w:p w:rsidR="003A283D" w:rsidRDefault="00210EB2">
      <w:pPr>
        <w:shd w:val="clear" w:color="auto" w:fill="FFFFFF"/>
        <w:spacing w:after="0" w:line="360" w:lineRule="auto"/>
        <w:jc w:val="both"/>
        <w:rPr>
          <w:rFonts w:ascii="Times New Roman" w:eastAsia="Times New Roman" w:hAnsi="Times New Roman" w:cs="Times New Roman"/>
          <w:b/>
          <w:bCs/>
          <w:color w:val="222222"/>
          <w:kern w:val="0"/>
          <w14:ligatures w14:val="none"/>
        </w:rPr>
      </w:pPr>
      <w:r>
        <w:rPr>
          <w:rFonts w:ascii="Times New Roman" w:eastAsia="Times New Roman" w:hAnsi="Times New Roman" w:cs="Times New Roman"/>
          <w:color w:val="222222"/>
          <w:kern w:val="0"/>
          <w14:ligatures w14:val="none"/>
        </w:rPr>
        <w:t>Elaborate what the Evidence (Out of Court Rules 2009) provide together with the provisions of the Evidence Act provide fo</w:t>
      </w:r>
      <w:r>
        <w:rPr>
          <w:rFonts w:ascii="Times New Roman" w:eastAsia="Times New Roman" w:hAnsi="Times New Roman" w:cs="Times New Roman"/>
          <w:color w:val="222222"/>
          <w:kern w:val="0"/>
          <w14:ligatures w14:val="none"/>
        </w:rPr>
        <w:t>r taking confessions.</w:t>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color w:val="222222"/>
          <w:kern w:val="0"/>
          <w14:ligatures w14:val="none"/>
        </w:rPr>
        <w:tab/>
      </w:r>
      <w:r>
        <w:rPr>
          <w:rFonts w:ascii="Times New Roman" w:eastAsia="Times New Roman" w:hAnsi="Times New Roman" w:cs="Times New Roman"/>
          <w:b/>
          <w:bCs/>
          <w:color w:val="222222"/>
          <w:kern w:val="0"/>
          <w14:ligatures w14:val="none"/>
        </w:rPr>
        <w:t>(20 marks)</w:t>
      </w:r>
    </w:p>
    <w:p w:rsidR="003A283D" w:rsidRDefault="003A283D">
      <w:pPr>
        <w:shd w:val="clear" w:color="auto" w:fill="FFFFFF"/>
        <w:spacing w:after="0" w:line="360" w:lineRule="auto"/>
        <w:jc w:val="both"/>
        <w:rPr>
          <w:rFonts w:ascii="Times New Roman" w:eastAsia="Times New Roman" w:hAnsi="Times New Roman" w:cs="Times New Roman"/>
          <w:b/>
          <w:bCs/>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b/>
          <w:bCs/>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b/>
          <w:bCs/>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b/>
          <w:bCs/>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p w:rsidR="003A283D" w:rsidRDefault="003A283D">
      <w:pPr>
        <w:shd w:val="clear" w:color="auto" w:fill="FFFFFF"/>
        <w:spacing w:after="0" w:line="360" w:lineRule="auto"/>
        <w:jc w:val="both"/>
        <w:rPr>
          <w:rFonts w:ascii="Times New Roman" w:eastAsia="Times New Roman" w:hAnsi="Times New Roman" w:cs="Times New Roman"/>
          <w:color w:val="222222"/>
          <w:kern w:val="0"/>
          <w14:ligatures w14:val="none"/>
        </w:rPr>
      </w:pPr>
    </w:p>
    <w:sectPr w:rsidR="003A283D">
      <w:footerReference w:type="default" r:id="rId9"/>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0EB2" w:rsidRDefault="00210EB2">
      <w:pPr>
        <w:spacing w:line="240" w:lineRule="auto"/>
      </w:pPr>
      <w:r>
        <w:separator/>
      </w:r>
    </w:p>
  </w:endnote>
  <w:endnote w:type="continuationSeparator" w:id="0">
    <w:p w:rsidR="00210EB2" w:rsidRDefault="00210E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83D" w:rsidRDefault="00210EB2">
    <w:pPr>
      <w:pStyle w:val="Footer"/>
      <w:jc w:val="right"/>
    </w:pPr>
    <w:r>
      <w:rPr>
        <w:noProof/>
        <w:lang w:val="en-US" w:eastAsia="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sdt>
                          <w:sdtPr>
                            <w:id w:val="147474758"/>
                          </w:sdtPr>
                          <w:sdtEndPr/>
                          <w:sdtContent>
                            <w:sdt>
                              <w:sdtPr>
                                <w:id w:val="147476601"/>
                              </w:sdtPr>
                              <w:sdtEndPr/>
                              <w:sdtContent>
                                <w:p w:rsidR="003A283D" w:rsidRDefault="00210EB2">
                                  <w:pPr>
                                    <w:pStyle w:val="Footer"/>
                                    <w:jc w:val="right"/>
                                  </w:pPr>
                                  <w:r>
                                    <w:t xml:space="preserve">Page </w:t>
                                  </w:r>
                                  <w:r>
                                    <w:rPr>
                                      <w:b/>
                                      <w:bCs/>
                                    </w:rPr>
                                    <w:fldChar w:fldCharType="begin"/>
                                  </w:r>
                                  <w:r>
                                    <w:rPr>
                                      <w:b/>
                                      <w:bCs/>
                                    </w:rPr>
                                    <w:instrText xml:space="preserve"> PAGE </w:instrText>
                                  </w:r>
                                  <w:r>
                                    <w:rPr>
                                      <w:b/>
                                      <w:bCs/>
                                    </w:rPr>
                                    <w:fldChar w:fldCharType="separate"/>
                                  </w:r>
                                  <w:r w:rsidR="003C11F1">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3C11F1">
                                    <w:rPr>
                                      <w:b/>
                                      <w:bCs/>
                                      <w:noProof/>
                                    </w:rPr>
                                    <w:t>3</w:t>
                                  </w:r>
                                  <w:r>
                                    <w:rPr>
                                      <w:b/>
                                      <w:bCs/>
                                    </w:rPr>
                                    <w:fldChar w:fldCharType="end"/>
                                  </w:r>
                                </w:p>
                              </w:sdtContent>
                            </w:sdt>
                          </w:sdtContent>
                        </w:sdt>
                        <w:p w:rsidR="003A283D" w:rsidRDefault="003A283D"/>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sdt>
                    <w:sdtPr>
                      <w:id w:val="147474758"/>
                    </w:sdtPr>
                    <w:sdtEndPr/>
                    <w:sdtContent>
                      <w:sdt>
                        <w:sdtPr>
                          <w:id w:val="147476601"/>
                        </w:sdtPr>
                        <w:sdtEndPr/>
                        <w:sdtContent>
                          <w:p w:rsidR="003A283D" w:rsidRDefault="00210EB2">
                            <w:pPr>
                              <w:pStyle w:val="Footer"/>
                              <w:jc w:val="right"/>
                            </w:pPr>
                            <w:r>
                              <w:t xml:space="preserve">Page </w:t>
                            </w:r>
                            <w:r>
                              <w:rPr>
                                <w:b/>
                                <w:bCs/>
                              </w:rPr>
                              <w:fldChar w:fldCharType="begin"/>
                            </w:r>
                            <w:r>
                              <w:rPr>
                                <w:b/>
                                <w:bCs/>
                              </w:rPr>
                              <w:instrText xml:space="preserve"> PAGE </w:instrText>
                            </w:r>
                            <w:r>
                              <w:rPr>
                                <w:b/>
                                <w:bCs/>
                              </w:rPr>
                              <w:fldChar w:fldCharType="separate"/>
                            </w:r>
                            <w:r w:rsidR="003C11F1">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3C11F1">
                              <w:rPr>
                                <w:b/>
                                <w:bCs/>
                                <w:noProof/>
                              </w:rPr>
                              <w:t>3</w:t>
                            </w:r>
                            <w:r>
                              <w:rPr>
                                <w:b/>
                                <w:bCs/>
                              </w:rPr>
                              <w:fldChar w:fldCharType="end"/>
                            </w:r>
                          </w:p>
                        </w:sdtContent>
                      </w:sdt>
                    </w:sdtContent>
                  </w:sdt>
                  <w:p w:rsidR="003A283D" w:rsidRDefault="003A283D"/>
                </w:txbxContent>
              </v:textbox>
              <w10:wrap anchorx="margin"/>
            </v:shape>
          </w:pict>
        </mc:Fallback>
      </mc:AlternateContent>
    </w:r>
  </w:p>
  <w:p w:rsidR="003A283D" w:rsidRDefault="003A28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0EB2" w:rsidRDefault="00210EB2">
      <w:pPr>
        <w:spacing w:after="0"/>
      </w:pPr>
      <w:r>
        <w:separator/>
      </w:r>
    </w:p>
  </w:footnote>
  <w:footnote w:type="continuationSeparator" w:id="0">
    <w:p w:rsidR="00210EB2" w:rsidRDefault="00210EB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853AF0"/>
    <w:multiLevelType w:val="multilevel"/>
    <w:tmpl w:val="20853A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81D"/>
    <w:rsid w:val="000148E2"/>
    <w:rsid w:val="00182718"/>
    <w:rsid w:val="001F6394"/>
    <w:rsid w:val="00210EB2"/>
    <w:rsid w:val="002D3D42"/>
    <w:rsid w:val="00382C29"/>
    <w:rsid w:val="003A283D"/>
    <w:rsid w:val="003C11F1"/>
    <w:rsid w:val="004F4DA4"/>
    <w:rsid w:val="005E48C7"/>
    <w:rsid w:val="00600400"/>
    <w:rsid w:val="006F501C"/>
    <w:rsid w:val="007913AC"/>
    <w:rsid w:val="007E474B"/>
    <w:rsid w:val="00811CCF"/>
    <w:rsid w:val="0089281D"/>
    <w:rsid w:val="008E5F3F"/>
    <w:rsid w:val="00907C74"/>
    <w:rsid w:val="00973CCD"/>
    <w:rsid w:val="009A5882"/>
    <w:rsid w:val="009C2560"/>
    <w:rsid w:val="00B01DCB"/>
    <w:rsid w:val="00B02FB3"/>
    <w:rsid w:val="00C12110"/>
    <w:rsid w:val="00D73F04"/>
    <w:rsid w:val="00DA4FE4"/>
    <w:rsid w:val="00DE5B4E"/>
    <w:rsid w:val="00FC5BC5"/>
    <w:rsid w:val="09C37CC1"/>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6727FF-30E2-41F6-AB34-F15BF2C3C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78" w:lineRule="auto"/>
    </w:pPr>
    <w:rPr>
      <w:kern w:val="2"/>
      <w:sz w:val="24"/>
      <w:szCs w:val="24"/>
      <w:lang w:val="zh-CN" w:eastAsia="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unhideWhenUsed/>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DateChar">
    <w:name w:val="Date Char"/>
    <w:basedOn w:val="DefaultParagraphFont"/>
    <w:link w:val="Date"/>
    <w:uiPriority w:val="99"/>
    <w:semiHidden/>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758</Words>
  <Characters>4324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Kendi Mutungi</dc:creator>
  <cp:lastModifiedBy>user</cp:lastModifiedBy>
  <cp:revision>5</cp:revision>
  <dcterms:created xsi:type="dcterms:W3CDTF">2025-07-11T12:54:00Z</dcterms:created>
  <dcterms:modified xsi:type="dcterms:W3CDTF">2025-11-13T05:44:00Z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F61DBF7F86304F1D8FBD5BAAD11A96DA_12</vt:lpwstr>
  </property>
</Properties>
</file>