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760C" w:rsidRDefault="001240C7">
      <w:pPr>
        <w:jc w:val="center"/>
      </w:pPr>
      <w:bookmarkStart w:id="0" w:name="_GoBack"/>
      <w:bookmarkEnd w:id="0"/>
      <w:r>
        <w:rPr>
          <w:rFonts w:ascii="Calibri" w:eastAsia="Times New Roman" w:hAnsi="Calibri" w:cs="Times New Roman"/>
          <w:noProof/>
          <w:szCs w:val="28"/>
          <w:lang w:val="en-US"/>
        </w:rPr>
        <w:drawing>
          <wp:inline distT="0" distB="0" distL="0" distR="0">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84960" cy="1076960"/>
                    </a:xfrm>
                    <a:prstGeom prst="rect">
                      <a:avLst/>
                    </a:prstGeom>
                    <a:noFill/>
                    <a:ln>
                      <a:noFill/>
                    </a:ln>
                  </pic:spPr>
                </pic:pic>
              </a:graphicData>
            </a:graphic>
          </wp:inline>
        </w:drawing>
      </w:r>
    </w:p>
    <w:p w:rsidR="0046760C" w:rsidRDefault="001240C7">
      <w:pPr>
        <w:keepNext/>
        <w:keepLines/>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RIARA LAW SCHOOL</w:t>
      </w:r>
    </w:p>
    <w:p w:rsidR="0046760C" w:rsidRDefault="001240C7">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UNIVERSITY EXAMINATION FOR BACHELOR OF LAWS (LLB) DEGREE</w:t>
      </w:r>
    </w:p>
    <w:p w:rsidR="0046760C" w:rsidRDefault="001240C7">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AND</w:t>
      </w:r>
    </w:p>
    <w:p w:rsidR="0046760C" w:rsidRDefault="001240C7">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PRE-KENYA SCHOOL OF LAW CORE COURSES COMPLIANCE PROGRAMME</w:t>
      </w:r>
    </w:p>
    <w:p w:rsidR="0046760C" w:rsidRDefault="001240C7">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JAN - APRIL 2025</w:t>
      </w:r>
    </w:p>
    <w:p w:rsidR="0046760C" w:rsidRDefault="001240C7">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RLB 211: ADMINISTRATIVE LAW II</w:t>
      </w:r>
    </w:p>
    <w:p w:rsidR="0046760C" w:rsidRDefault="001240C7">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EXAMINER: MR. WASHINGTON ODONGO OMBIS</w:t>
      </w:r>
    </w:p>
    <w:p w:rsidR="0046760C" w:rsidRDefault="0046760C">
      <w:pPr>
        <w:spacing w:after="120"/>
        <w:jc w:val="center"/>
        <w:rPr>
          <w:rFonts w:ascii="Times New Roman" w:eastAsia="Times New Roman" w:hAnsi="Times New Roman" w:cs="Times New Roman"/>
          <w:b/>
          <w:u w:val="single"/>
        </w:rPr>
      </w:pPr>
    </w:p>
    <w:p w:rsidR="0046760C" w:rsidRDefault="001240C7">
      <w:pPr>
        <w:spacing w:after="120"/>
        <w:jc w:val="center"/>
        <w:rPr>
          <w:rFonts w:ascii="Times New Roman" w:eastAsia="Times New Roman" w:hAnsi="Times New Roman" w:cs="Times New Roman"/>
        </w:rPr>
      </w:pPr>
      <w:r>
        <w:rPr>
          <w:rFonts w:ascii="Times New Roman" w:eastAsia="Times New Roman" w:hAnsi="Times New Roman" w:cs="Times New Roman"/>
          <w:b/>
          <w:u w:val="single"/>
        </w:rPr>
        <w:t>INSTRUCTIONS</w:t>
      </w:r>
    </w:p>
    <w:p w:rsidR="0046760C" w:rsidRDefault="001240C7">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This is the final</w:t>
      </w:r>
      <w:r>
        <w:rPr>
          <w:rFonts w:ascii="Times New Roman" w:eastAsia="Times New Roman" w:hAnsi="Times New Roman" w:cs="Times New Roman"/>
        </w:rPr>
        <w:t xml:space="preserve"> examination in Administrative Law II. You will earn 70% of your final grade from this final examination and 30% from Continuous Assessment Assignments.</w:t>
      </w:r>
    </w:p>
    <w:p w:rsidR="0046760C" w:rsidRDefault="001240C7">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This examination has </w:t>
      </w:r>
      <w:r>
        <w:rPr>
          <w:rFonts w:ascii="Times New Roman" w:eastAsia="Times New Roman" w:hAnsi="Times New Roman" w:cs="Times New Roman"/>
          <w:b/>
          <w:u w:val="single"/>
        </w:rPr>
        <w:t>FIVE</w:t>
      </w:r>
      <w:r>
        <w:rPr>
          <w:rFonts w:ascii="Times New Roman" w:eastAsia="Times New Roman" w:hAnsi="Times New Roman" w:cs="Times New Roman"/>
          <w:b/>
        </w:rPr>
        <w:t xml:space="preserve"> </w:t>
      </w:r>
      <w:r>
        <w:rPr>
          <w:rFonts w:ascii="Times New Roman" w:eastAsia="Times New Roman" w:hAnsi="Times New Roman" w:cs="Times New Roman"/>
        </w:rPr>
        <w:t xml:space="preserve">questions.  Please answer </w:t>
      </w:r>
      <w:r>
        <w:rPr>
          <w:rFonts w:ascii="Times New Roman" w:eastAsia="Times New Roman" w:hAnsi="Times New Roman" w:cs="Times New Roman"/>
          <w:b/>
          <w:u w:val="single"/>
        </w:rPr>
        <w:t>4 QUESTIONS.</w:t>
      </w:r>
    </w:p>
    <w:p w:rsidR="0046760C" w:rsidRDefault="001240C7">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b/>
          <w:u w:val="single"/>
        </w:rPr>
        <w:t>QUESTIONS 1, 2 &amp; 3 ARE COMPULSORY</w:t>
      </w:r>
      <w:r>
        <w:rPr>
          <w:rFonts w:ascii="Times New Roman" w:eastAsia="Times New Roman" w:hAnsi="Times New Roman" w:cs="Times New Roman"/>
        </w:rPr>
        <w:t>.</w:t>
      </w:r>
    </w:p>
    <w:p w:rsidR="0046760C" w:rsidRDefault="001240C7">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Thi</w:t>
      </w:r>
      <w:r>
        <w:rPr>
          <w:rFonts w:ascii="Times New Roman" w:eastAsia="Times New Roman" w:hAnsi="Times New Roman" w:cs="Times New Roman"/>
        </w:rPr>
        <w:t>s examination has 4 pages, including this one.</w:t>
      </w:r>
    </w:p>
    <w:p w:rsidR="0046760C" w:rsidRDefault="001240C7">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Time allocated for this examination is </w:t>
      </w:r>
      <w:r>
        <w:rPr>
          <w:rFonts w:ascii="Times New Roman" w:eastAsia="Times New Roman" w:hAnsi="Times New Roman" w:cs="Times New Roman"/>
          <w:b/>
          <w:u w:val="single"/>
        </w:rPr>
        <w:t xml:space="preserve">TWO </w:t>
      </w:r>
      <w:r>
        <w:rPr>
          <w:rFonts w:ascii="Times New Roman" w:eastAsia="Times New Roman" w:hAnsi="Times New Roman" w:cs="Times New Roman"/>
        </w:rPr>
        <w:t xml:space="preserve">(2) hours. </w:t>
      </w:r>
    </w:p>
    <w:p w:rsidR="0046760C" w:rsidRDefault="001240C7">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This examination is governed by the </w:t>
      </w:r>
      <w:r>
        <w:rPr>
          <w:rFonts w:ascii="Times New Roman" w:eastAsia="Times New Roman" w:hAnsi="Times New Roman" w:cs="Times New Roman"/>
          <w:b/>
          <w:u w:val="single"/>
        </w:rPr>
        <w:t>Riara University Academic Honesty Regulations</w:t>
      </w:r>
      <w:r>
        <w:rPr>
          <w:rFonts w:ascii="Times New Roman" w:eastAsia="Times New Roman" w:hAnsi="Times New Roman" w:cs="Times New Roman"/>
        </w:rPr>
        <w:t>. Students who violate those regulations will be penalized.  Students hav</w:t>
      </w:r>
      <w:r>
        <w:rPr>
          <w:rFonts w:ascii="Times New Roman" w:eastAsia="Times New Roman" w:hAnsi="Times New Roman" w:cs="Times New Roman"/>
        </w:rPr>
        <w:t>e an obligation to report to the course instructor any incidences of academic dishonesty compromising the integrity of this examination.</w:t>
      </w:r>
    </w:p>
    <w:p w:rsidR="0046760C" w:rsidRDefault="001240C7">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Indicate your registration Number and the Title of the Exam at the top of the page. DO NOT indicate your name on the an</w:t>
      </w:r>
      <w:r>
        <w:rPr>
          <w:rFonts w:ascii="Times New Roman" w:eastAsia="Times New Roman" w:hAnsi="Times New Roman" w:cs="Times New Roman"/>
        </w:rPr>
        <w:t xml:space="preserve">swer script. </w:t>
      </w:r>
    </w:p>
    <w:p w:rsidR="0046760C" w:rsidRDefault="0046760C">
      <w:pPr>
        <w:rPr>
          <w:b/>
          <w:bCs/>
        </w:rPr>
      </w:pPr>
    </w:p>
    <w:p w:rsidR="0046760C" w:rsidRDefault="0046760C">
      <w:pPr>
        <w:rPr>
          <w:b/>
          <w:bCs/>
        </w:rPr>
      </w:pPr>
    </w:p>
    <w:p w:rsidR="0046760C" w:rsidRDefault="0046760C">
      <w:pPr>
        <w:rPr>
          <w:b/>
          <w:bCs/>
        </w:rPr>
      </w:pPr>
    </w:p>
    <w:p w:rsidR="0046760C" w:rsidRDefault="0046760C">
      <w:pPr>
        <w:rPr>
          <w:b/>
          <w:bCs/>
        </w:rPr>
      </w:pPr>
    </w:p>
    <w:p w:rsidR="0046760C" w:rsidRDefault="0046760C">
      <w:pPr>
        <w:rPr>
          <w:b/>
          <w:bCs/>
        </w:rPr>
      </w:pPr>
    </w:p>
    <w:p w:rsidR="0046760C" w:rsidRDefault="001240C7">
      <w:pPr>
        <w:rPr>
          <w:rFonts w:ascii="Times New Roman" w:hAnsi="Times New Roman" w:cs="Times New Roman"/>
          <w:b/>
          <w:bCs/>
        </w:rPr>
      </w:pPr>
      <w:r>
        <w:rPr>
          <w:rFonts w:ascii="Times New Roman" w:hAnsi="Times New Roman" w:cs="Times New Roman"/>
          <w:b/>
          <w:bCs/>
        </w:rPr>
        <w:lastRenderedPageBreak/>
        <w:t xml:space="preserve">QUESTIONS </w:t>
      </w:r>
    </w:p>
    <w:p w:rsidR="0046760C" w:rsidRDefault="0046760C">
      <w:pPr>
        <w:rPr>
          <w:rFonts w:ascii="Times New Roman" w:hAnsi="Times New Roman" w:cs="Times New Roman"/>
          <w:b/>
          <w:bCs/>
        </w:rPr>
      </w:pPr>
    </w:p>
    <w:p w:rsidR="0046760C" w:rsidRDefault="001240C7">
      <w:pPr>
        <w:rPr>
          <w:rFonts w:ascii="Times New Roman" w:hAnsi="Times New Roman" w:cs="Times New Roman"/>
          <w:b/>
          <w:bCs/>
        </w:rPr>
      </w:pPr>
      <w:r>
        <w:rPr>
          <w:rFonts w:ascii="Times New Roman" w:hAnsi="Times New Roman" w:cs="Times New Roman"/>
          <w:b/>
          <w:bCs/>
        </w:rPr>
        <w:t xml:space="preserve">Question One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 xml:space="preserve"> (30 Marks)</w:t>
      </w:r>
    </w:p>
    <w:p w:rsidR="0046760C" w:rsidRDefault="0046760C">
      <w:pPr>
        <w:rPr>
          <w:rFonts w:ascii="Times New Roman" w:hAnsi="Times New Roman" w:cs="Times New Roman"/>
          <w:b/>
          <w:bCs/>
        </w:rPr>
      </w:pPr>
    </w:p>
    <w:p w:rsidR="0046760C" w:rsidRDefault="001240C7">
      <w:pPr>
        <w:spacing w:line="360" w:lineRule="auto"/>
        <w:jc w:val="both"/>
        <w:rPr>
          <w:rFonts w:ascii="Times New Roman" w:hAnsi="Times New Roman" w:cs="Times New Roman"/>
        </w:rPr>
      </w:pPr>
      <w:r>
        <w:rPr>
          <w:rFonts w:ascii="Times New Roman" w:hAnsi="Times New Roman" w:cs="Times New Roman"/>
        </w:rPr>
        <w:t>On the 28</w:t>
      </w:r>
      <w:r>
        <w:rPr>
          <w:rFonts w:ascii="Times New Roman" w:hAnsi="Times New Roman" w:cs="Times New Roman"/>
          <w:vertAlign w:val="superscript"/>
        </w:rPr>
        <w:t>th</w:t>
      </w:r>
      <w:r>
        <w:rPr>
          <w:rFonts w:ascii="Times New Roman" w:hAnsi="Times New Roman" w:cs="Times New Roman"/>
        </w:rPr>
        <w:t xml:space="preserve"> February 2023, one Nuseiba Garang was appointed as the CS Education for a tenure period of 5 years. Her appointment was approved after she successfully presented herself through parliamentary vetting. She was appointed through gazette notice No 14 of 2023</w:t>
      </w:r>
      <w:r>
        <w:rPr>
          <w:rFonts w:ascii="Times New Roman" w:hAnsi="Times New Roman" w:cs="Times New Roman"/>
        </w:rPr>
        <w:t>. However, unknown to her, on the 10</w:t>
      </w:r>
      <w:r>
        <w:rPr>
          <w:rFonts w:ascii="Times New Roman" w:hAnsi="Times New Roman" w:cs="Times New Roman"/>
          <w:vertAlign w:val="superscript"/>
        </w:rPr>
        <w:t>th</w:t>
      </w:r>
      <w:r>
        <w:rPr>
          <w:rFonts w:ascii="Times New Roman" w:hAnsi="Times New Roman" w:cs="Times New Roman"/>
        </w:rPr>
        <w:t xml:space="preserve"> February 2025, she was informed through phone that her appointment had lapsed and one Jade Wacuka had replaced her. She reported to work at Jogoo House building and found that all her files had been thrown away. </w:t>
      </w:r>
    </w:p>
    <w:p w:rsidR="0046760C" w:rsidRDefault="001240C7">
      <w:pPr>
        <w:spacing w:line="360" w:lineRule="auto"/>
        <w:jc w:val="both"/>
        <w:rPr>
          <w:rFonts w:ascii="Times New Roman" w:hAnsi="Times New Roman" w:cs="Times New Roman"/>
        </w:rPr>
      </w:pPr>
      <w:r>
        <w:rPr>
          <w:rFonts w:ascii="Times New Roman" w:hAnsi="Times New Roman" w:cs="Times New Roman"/>
        </w:rPr>
        <w:t>Upon</w:t>
      </w:r>
      <w:r>
        <w:rPr>
          <w:rFonts w:ascii="Times New Roman" w:hAnsi="Times New Roman" w:cs="Times New Roman"/>
        </w:rPr>
        <w:t xml:space="preserve"> this happening, Nuseiba decides to contact the firm of Mapelu &amp; Co Advocates, Bruce House Building Standard Street to aid her in preventing the illegal appointment of Wachuka. </w:t>
      </w:r>
    </w:p>
    <w:p w:rsidR="0046760C" w:rsidRDefault="001240C7">
      <w:pPr>
        <w:pStyle w:val="ListParagraph"/>
        <w:numPr>
          <w:ilvl w:val="0"/>
          <w:numId w:val="2"/>
        </w:numPr>
        <w:spacing w:line="360" w:lineRule="auto"/>
        <w:jc w:val="both"/>
        <w:rPr>
          <w:rFonts w:ascii="Times New Roman" w:hAnsi="Times New Roman" w:cs="Times New Roman"/>
        </w:rPr>
      </w:pPr>
      <w:r>
        <w:rPr>
          <w:rFonts w:ascii="Times New Roman" w:hAnsi="Times New Roman" w:cs="Times New Roman"/>
        </w:rPr>
        <w:t xml:space="preserve">Assuming you decide to institute the suit, draft the initial pleadings.   (20 </w:t>
      </w:r>
      <w:r>
        <w:rPr>
          <w:rFonts w:ascii="Times New Roman" w:hAnsi="Times New Roman" w:cs="Times New Roman"/>
        </w:rPr>
        <w:t xml:space="preserve">Marks) </w:t>
      </w:r>
    </w:p>
    <w:p w:rsidR="0046760C" w:rsidRDefault="001240C7">
      <w:pPr>
        <w:pStyle w:val="ListParagraph"/>
        <w:numPr>
          <w:ilvl w:val="0"/>
          <w:numId w:val="2"/>
        </w:numPr>
        <w:spacing w:line="360" w:lineRule="auto"/>
        <w:jc w:val="both"/>
        <w:rPr>
          <w:rFonts w:ascii="Times New Roman" w:hAnsi="Times New Roman" w:cs="Times New Roman"/>
        </w:rPr>
      </w:pPr>
      <w:r>
        <w:rPr>
          <w:rFonts w:ascii="Times New Roman" w:hAnsi="Times New Roman" w:cs="Times New Roman"/>
        </w:rPr>
        <w:t>Assuming, the court allows the first stage above, draft the final substantive pleadings for the matter.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(10 Marks) </w:t>
      </w:r>
    </w:p>
    <w:p w:rsidR="0046760C" w:rsidRDefault="0046760C">
      <w:pPr>
        <w:spacing w:line="360" w:lineRule="auto"/>
        <w:jc w:val="both"/>
        <w:rPr>
          <w:rFonts w:ascii="Times New Roman" w:hAnsi="Times New Roman" w:cs="Times New Roman"/>
        </w:rPr>
      </w:pPr>
    </w:p>
    <w:p w:rsidR="0046760C" w:rsidRDefault="001240C7">
      <w:pPr>
        <w:spacing w:line="360" w:lineRule="auto"/>
        <w:jc w:val="both"/>
        <w:rPr>
          <w:rFonts w:ascii="Times New Roman" w:hAnsi="Times New Roman" w:cs="Times New Roman"/>
          <w:b/>
          <w:bCs/>
        </w:rPr>
      </w:pPr>
      <w:r>
        <w:rPr>
          <w:rFonts w:ascii="Times New Roman" w:hAnsi="Times New Roman" w:cs="Times New Roman"/>
          <w:b/>
          <w:bCs/>
        </w:rPr>
        <w:t xml:space="preserve">Question Two.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 xml:space="preserve">(15 Marks) </w:t>
      </w:r>
    </w:p>
    <w:p w:rsidR="0046760C" w:rsidRDefault="001240C7">
      <w:pPr>
        <w:spacing w:line="360" w:lineRule="auto"/>
        <w:jc w:val="both"/>
        <w:rPr>
          <w:rFonts w:ascii="Times New Roman" w:hAnsi="Times New Roman" w:cs="Times New Roman"/>
        </w:rPr>
      </w:pPr>
      <w:r>
        <w:rPr>
          <w:rFonts w:ascii="Times New Roman" w:hAnsi="Times New Roman" w:cs="Times New Roman"/>
        </w:rPr>
        <w:t xml:space="preserve">In the case of </w:t>
      </w:r>
      <w:r>
        <w:rPr>
          <w:rFonts w:ascii="Times New Roman" w:hAnsi="Times New Roman" w:cs="Times New Roman"/>
          <w:i/>
          <w:iCs/>
        </w:rPr>
        <w:t xml:space="preserve">Pastoli v Kabale District Local Government Counsel &amp; others [2005] 2 EA 300, </w:t>
      </w:r>
      <w:r>
        <w:rPr>
          <w:rFonts w:ascii="Times New Roman" w:hAnsi="Times New Roman" w:cs="Times New Roman"/>
        </w:rPr>
        <w:t>formed t</w:t>
      </w:r>
      <w:r>
        <w:rPr>
          <w:rFonts w:ascii="Times New Roman" w:hAnsi="Times New Roman" w:cs="Times New Roman"/>
        </w:rPr>
        <w:t>he basis upon which judicial review grounds are scrutinized.</w:t>
      </w:r>
      <w:r>
        <w:rPr>
          <w:rStyle w:val="FootnoteReference"/>
          <w:rFonts w:ascii="Times New Roman" w:hAnsi="Times New Roman" w:cs="Times New Roman"/>
        </w:rPr>
        <w:footnoteReference w:id="1"/>
      </w:r>
    </w:p>
    <w:p w:rsidR="0046760C" w:rsidRDefault="001240C7">
      <w:pPr>
        <w:spacing w:line="360" w:lineRule="auto"/>
        <w:jc w:val="both"/>
        <w:rPr>
          <w:rFonts w:ascii="Times New Roman" w:hAnsi="Times New Roman" w:cs="Times New Roman"/>
        </w:rPr>
      </w:pPr>
      <w:r>
        <w:rPr>
          <w:rFonts w:ascii="Times New Roman" w:hAnsi="Times New Roman" w:cs="Times New Roman"/>
        </w:rPr>
        <w:t xml:space="preserve">Considering the above and with aid of relevant authorities, discuss seven grounds for judicial review in law. </w:t>
      </w:r>
    </w:p>
    <w:p w:rsidR="0046760C" w:rsidRDefault="0046760C">
      <w:pPr>
        <w:spacing w:line="360" w:lineRule="auto"/>
        <w:jc w:val="both"/>
        <w:rPr>
          <w:rFonts w:ascii="Times New Roman" w:hAnsi="Times New Roman" w:cs="Times New Roman"/>
        </w:rPr>
      </w:pPr>
    </w:p>
    <w:p w:rsidR="0046760C" w:rsidRDefault="001240C7">
      <w:pPr>
        <w:spacing w:line="360" w:lineRule="auto"/>
        <w:jc w:val="both"/>
        <w:rPr>
          <w:rFonts w:ascii="Times New Roman" w:hAnsi="Times New Roman" w:cs="Times New Roman"/>
          <w:b/>
          <w:bCs/>
        </w:rPr>
      </w:pPr>
      <w:r>
        <w:rPr>
          <w:rFonts w:ascii="Times New Roman" w:hAnsi="Times New Roman" w:cs="Times New Roman"/>
          <w:b/>
          <w:bCs/>
        </w:rPr>
        <w:t xml:space="preserve">Question Three.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 xml:space="preserve">(15 Marks) </w:t>
      </w:r>
    </w:p>
    <w:p w:rsidR="0046760C" w:rsidRDefault="001240C7">
      <w:pPr>
        <w:spacing w:line="360" w:lineRule="auto"/>
        <w:jc w:val="both"/>
        <w:rPr>
          <w:rFonts w:ascii="Times New Roman" w:hAnsi="Times New Roman" w:cs="Times New Roman"/>
        </w:rPr>
      </w:pPr>
      <w:r>
        <w:rPr>
          <w:rFonts w:ascii="Times New Roman" w:hAnsi="Times New Roman" w:cs="Times New Roman"/>
        </w:rPr>
        <w:t>“In conclusion, the Fair Administrative Action Rule</w:t>
      </w:r>
      <w:r>
        <w:rPr>
          <w:rFonts w:ascii="Times New Roman" w:hAnsi="Times New Roman" w:cs="Times New Roman"/>
        </w:rPr>
        <w:t>s 2024, significantly evolved Kenya’s judicial review landscape. The rules align judicial review practice with the constitutional right to fair administrative action by prioritising access to justice, efficiency and fairness.</w:t>
      </w:r>
    </w:p>
    <w:p w:rsidR="0046760C" w:rsidRDefault="001240C7">
      <w:pPr>
        <w:spacing w:line="360" w:lineRule="auto"/>
        <w:jc w:val="both"/>
        <w:rPr>
          <w:rFonts w:ascii="Times New Roman" w:hAnsi="Times New Roman" w:cs="Times New Roman"/>
        </w:rPr>
      </w:pPr>
      <w:r>
        <w:rPr>
          <w:rFonts w:ascii="Times New Roman" w:hAnsi="Times New Roman" w:cs="Times New Roman"/>
        </w:rPr>
        <w:t xml:space="preserve"> Considering the above, discus</w:t>
      </w:r>
      <w:r>
        <w:rPr>
          <w:rFonts w:ascii="Times New Roman" w:hAnsi="Times New Roman" w:cs="Times New Roman"/>
        </w:rPr>
        <w:t xml:space="preserve">s the salient features of the Fair Administrative Action Rules 2024. </w:t>
      </w:r>
    </w:p>
    <w:p w:rsidR="0046760C" w:rsidRDefault="0046760C">
      <w:pPr>
        <w:jc w:val="both"/>
        <w:rPr>
          <w:rFonts w:ascii="Times New Roman" w:hAnsi="Times New Roman" w:cs="Times New Roman"/>
        </w:rPr>
      </w:pPr>
    </w:p>
    <w:p w:rsidR="0046760C" w:rsidRDefault="001240C7">
      <w:pPr>
        <w:spacing w:line="360" w:lineRule="auto"/>
        <w:rPr>
          <w:rFonts w:ascii="Times New Roman" w:hAnsi="Times New Roman" w:cs="Times New Roman"/>
          <w:b/>
          <w:bCs/>
        </w:rPr>
      </w:pPr>
      <w:r>
        <w:rPr>
          <w:rFonts w:ascii="Times New Roman" w:hAnsi="Times New Roman" w:cs="Times New Roman"/>
          <w:b/>
          <w:bCs/>
        </w:rPr>
        <w:t xml:space="preserve">Question Four. </w:t>
      </w:r>
      <w:r>
        <w:rPr>
          <w:rFonts w:ascii="Times New Roman" w:hAnsi="Times New Roman" w:cs="Times New Roman"/>
          <w:b/>
          <w:bCs/>
        </w:rPr>
        <w:tab/>
        <w:t xml:space="preserve">(10 Marks) </w:t>
      </w:r>
    </w:p>
    <w:p w:rsidR="0046760C" w:rsidRDefault="001240C7">
      <w:pPr>
        <w:spacing w:line="360" w:lineRule="auto"/>
        <w:rPr>
          <w:rFonts w:ascii="Times New Roman" w:hAnsi="Times New Roman" w:cs="Times New Roman"/>
        </w:rPr>
      </w:pPr>
      <w:r>
        <w:rPr>
          <w:rFonts w:ascii="Times New Roman" w:hAnsi="Times New Roman" w:cs="Times New Roman"/>
          <w:b/>
          <w:bCs/>
          <w:i/>
          <w:iCs/>
        </w:rPr>
        <w:t xml:space="preserve">“There are differences judicial review pre and post 2015 in Kenya.” – Anonymous </w:t>
      </w:r>
      <w:r>
        <w:rPr>
          <w:rFonts w:ascii="Times New Roman" w:hAnsi="Times New Roman" w:cs="Times New Roman"/>
        </w:rPr>
        <w:t xml:space="preserve">To what extent do you agree with the above statement. </w:t>
      </w:r>
    </w:p>
    <w:p w:rsidR="0046760C" w:rsidRDefault="0046760C">
      <w:pPr>
        <w:spacing w:line="360" w:lineRule="auto"/>
        <w:rPr>
          <w:rFonts w:ascii="Times New Roman" w:hAnsi="Times New Roman" w:cs="Times New Roman"/>
        </w:rPr>
      </w:pPr>
    </w:p>
    <w:p w:rsidR="0046760C" w:rsidRDefault="0046760C">
      <w:pPr>
        <w:spacing w:line="360" w:lineRule="auto"/>
        <w:rPr>
          <w:rFonts w:ascii="Times New Roman" w:hAnsi="Times New Roman" w:cs="Times New Roman"/>
        </w:rPr>
      </w:pPr>
    </w:p>
    <w:p w:rsidR="0046760C" w:rsidRDefault="001240C7">
      <w:pPr>
        <w:spacing w:line="360" w:lineRule="auto"/>
        <w:rPr>
          <w:rFonts w:ascii="Times New Roman" w:hAnsi="Times New Roman" w:cs="Times New Roman"/>
          <w:b/>
          <w:bCs/>
        </w:rPr>
      </w:pPr>
      <w:r>
        <w:rPr>
          <w:rFonts w:ascii="Times New Roman" w:hAnsi="Times New Roman" w:cs="Times New Roman"/>
          <w:b/>
          <w:bCs/>
        </w:rPr>
        <w:t xml:space="preserve">Question Five.      </w:t>
      </w:r>
      <w:r>
        <w:rPr>
          <w:rFonts w:ascii="Times New Roman" w:hAnsi="Times New Roman" w:cs="Times New Roman"/>
          <w:b/>
          <w:bCs/>
        </w:rPr>
        <w:t xml:space="preserve">        (10 Marks) </w:t>
      </w:r>
    </w:p>
    <w:p w:rsidR="0046760C" w:rsidRDefault="001240C7">
      <w:pPr>
        <w:spacing w:line="360" w:lineRule="auto"/>
        <w:ind w:firstLine="720"/>
        <w:jc w:val="both"/>
        <w:rPr>
          <w:rFonts w:ascii="Times New Roman" w:hAnsi="Times New Roman" w:cs="Times New Roman"/>
          <w:i/>
          <w:iCs/>
          <w:shd w:val="clear" w:color="auto" w:fill="FFFFFF"/>
        </w:rPr>
      </w:pPr>
      <w:r>
        <w:rPr>
          <w:rFonts w:ascii="Times New Roman" w:hAnsi="Times New Roman" w:cs="Times New Roman"/>
          <w:i/>
          <w:iCs/>
          <w:shd w:val="clear" w:color="auto" w:fill="FFFFFF"/>
        </w:rPr>
        <w:t>“[A]rticle 47 of the Constitution of Kenya 2010 has constitutionalised the right to be given written reasons for administrative actions and decisions. The same has been set out in the Fair Administrative Action Act 2015…</w:t>
      </w:r>
      <w:r>
        <w:rPr>
          <w:rStyle w:val="FootnoteReference"/>
          <w:rFonts w:ascii="Times New Roman" w:hAnsi="Times New Roman" w:cs="Times New Roman"/>
          <w:i/>
          <w:iCs/>
          <w:shd w:val="clear" w:color="auto" w:fill="FFFFFF"/>
        </w:rPr>
        <w:footnoteReference w:id="2"/>
      </w:r>
      <w:r>
        <w:rPr>
          <w:rFonts w:ascii="Times New Roman" w:hAnsi="Times New Roman" w:cs="Times New Roman"/>
          <w:i/>
          <w:iCs/>
          <w:shd w:val="clear" w:color="auto" w:fill="FFFFFF"/>
        </w:rPr>
        <w:t xml:space="preserve"> “ the right to</w:t>
      </w:r>
      <w:r>
        <w:rPr>
          <w:rFonts w:ascii="Times New Roman" w:hAnsi="Times New Roman" w:cs="Times New Roman"/>
          <w:i/>
          <w:iCs/>
          <w:shd w:val="clear" w:color="auto" w:fill="FFFFFF"/>
        </w:rPr>
        <w:t xml:space="preserve"> be given reasons for decisions taken by administrative authorities has not only been used as a tool to offer legal protection to individuals adversely affected by administrative action but also helps in enhancing good public administration in Kenya</w:t>
      </w:r>
      <w:r>
        <w:rPr>
          <w:rFonts w:ascii="Times New Roman" w:hAnsi="Times New Roman" w:cs="Times New Roman"/>
          <w:shd w:val="clear" w:color="auto" w:fill="FFFFFF"/>
        </w:rPr>
        <w:t>.”</w:t>
      </w:r>
      <w:r>
        <w:rPr>
          <w:rStyle w:val="FootnoteReference"/>
          <w:rFonts w:ascii="Times New Roman" w:hAnsi="Times New Roman" w:cs="Times New Roman"/>
          <w:shd w:val="clear" w:color="auto" w:fill="FFFFFF"/>
        </w:rPr>
        <w:footnoteReference w:id="3"/>
      </w:r>
      <w:r>
        <w:rPr>
          <w:rFonts w:ascii="Times New Roman" w:hAnsi="Times New Roman" w:cs="Times New Roman"/>
          <w:shd w:val="clear" w:color="auto" w:fill="FFFFFF"/>
        </w:rPr>
        <w:t xml:space="preserve"> </w:t>
      </w:r>
      <w:r>
        <w:rPr>
          <w:rFonts w:ascii="Times New Roman" w:hAnsi="Times New Roman" w:cs="Times New Roman"/>
          <w:i/>
          <w:iCs/>
          <w:shd w:val="clear" w:color="auto" w:fill="FFFFFF"/>
        </w:rPr>
        <w:t xml:space="preserve">On </w:t>
      </w:r>
      <w:r>
        <w:rPr>
          <w:rFonts w:ascii="Times New Roman" w:hAnsi="Times New Roman" w:cs="Times New Roman"/>
          <w:i/>
          <w:iCs/>
          <w:shd w:val="clear" w:color="auto" w:fill="FFFFFF"/>
        </w:rPr>
        <w:t>the one hand, courts of law have considered the right to be given written reasons both as a constitutional ground for judicial review of administrative action under the Constitution and as a remedy available in judicial review as stated in the Fair Adminis</w:t>
      </w:r>
      <w:r>
        <w:rPr>
          <w:rFonts w:ascii="Times New Roman" w:hAnsi="Times New Roman" w:cs="Times New Roman"/>
          <w:i/>
          <w:iCs/>
          <w:shd w:val="clear" w:color="auto" w:fill="FFFFFF"/>
        </w:rPr>
        <w:t>trative Action Act. It has provided affected individuals with a basis to challenge an administrative action and decision through a judicial review process that not only preserves but also develops and progresses relevant common law principles. On the other</w:t>
      </w:r>
      <w:r>
        <w:rPr>
          <w:rFonts w:ascii="Times New Roman" w:hAnsi="Times New Roman" w:cs="Times New Roman"/>
          <w:i/>
          <w:iCs/>
          <w:shd w:val="clear" w:color="auto" w:fill="FFFFFF"/>
        </w:rPr>
        <w:t xml:space="preserve"> hand, courts of law have viewed the right to be given written reasons as a tool aimed at enhancing public administration by ensuring that public administrators reflect on the lawfulness, quality, rationality, and fairness of their actions.</w:t>
      </w:r>
      <w:r>
        <w:rPr>
          <w:rFonts w:ascii="Times New Roman" w:hAnsi="Times New Roman" w:cs="Times New Roman"/>
          <w:shd w:val="clear" w:color="auto" w:fill="FFFFFF"/>
        </w:rPr>
        <w:t>”</w:t>
      </w:r>
      <w:r>
        <w:rPr>
          <w:rStyle w:val="FootnoteReference"/>
          <w:rFonts w:ascii="Times New Roman" w:hAnsi="Times New Roman" w:cs="Times New Roman"/>
          <w:shd w:val="clear" w:color="auto" w:fill="FFFFFF"/>
        </w:rPr>
        <w:footnoteReference w:id="4"/>
      </w:r>
    </w:p>
    <w:p w:rsidR="0046760C" w:rsidRDefault="001240C7">
      <w:pPr>
        <w:spacing w:line="360" w:lineRule="auto"/>
        <w:jc w:val="both"/>
        <w:rPr>
          <w:rFonts w:ascii="Times New Roman" w:hAnsi="Times New Roman" w:cs="Times New Roman"/>
        </w:rPr>
      </w:pPr>
      <w:r>
        <w:rPr>
          <w:rFonts w:ascii="Times New Roman" w:hAnsi="Times New Roman" w:cs="Times New Roman"/>
        </w:rPr>
        <w:t>Considering t</w:t>
      </w:r>
      <w:r>
        <w:rPr>
          <w:rFonts w:ascii="Times New Roman" w:hAnsi="Times New Roman" w:cs="Times New Roman"/>
        </w:rPr>
        <w:t>he above, discuss the duties of administrator as per section 4 (3) &amp; 4 (4) FAA 2015.</w:t>
      </w:r>
    </w:p>
    <w:p w:rsidR="0046760C" w:rsidRDefault="0046760C">
      <w:pPr>
        <w:spacing w:line="360" w:lineRule="auto"/>
        <w:ind w:left="360"/>
        <w:rPr>
          <w:rFonts w:ascii="Times New Roman" w:hAnsi="Times New Roman" w:cs="Times New Roman"/>
        </w:rPr>
      </w:pPr>
    </w:p>
    <w:sectPr w:rsidR="0046760C">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1240C7">
      <w:r>
        <w:separator/>
      </w:r>
    </w:p>
  </w:endnote>
  <w:endnote w:type="continuationSeparator" w:id="0">
    <w:p w:rsidR="00000000" w:rsidRDefault="001240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Arial Unicode MS"/>
    <w:charset w:val="86"/>
    <w:family w:val="auto"/>
    <w:pitch w:val="default"/>
  </w:font>
  <w:font w:name="Calibri">
    <w:panose1 w:val="020F0502020204030204"/>
    <w:charset w:val="00"/>
    <w:family w:val="swiss"/>
    <w:pitch w:val="variable"/>
    <w:sig w:usb0="E4002EFF" w:usb1="C200247B" w:usb2="00000009" w:usb3="00000000" w:csb0="000001FF" w:csb1="00000000"/>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760C" w:rsidRDefault="001240C7">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46760C" w:rsidRDefault="001240C7">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wKU8wIAAMsGAAAOAAAAZHJzL2Uyb0RvYy54bWysVdtu2zAMfR+wfxD07vpSN3WCOkUa18OA&#10;YC3WDntWZLkxKkuCpOayYf8+SrGdtOuAdduLQkskRR4enVxcbluO1kybRoocxycRRkxQWTXiIcdf&#10;7ssgw8hYIirCpWA53jGDL6fv311s1IQlciV5xTSCJMJMNirHK2vVJAwNXbGWmBOpmIDDWuqWWPjU&#10;D2GlyQaytzxMomgUbqSulJaUGQO7xf4QT33+umbU3tS1YRbxHENt1q/ar0u3htMLMnnQRK0a2pVB&#10;/qKKljQCLh1SFcQS9KSbX1K1DdXSyNqeUNmGsq4bynwP0E0cvejmbkUU870AOEYNMJn/l5Z+Wt9q&#10;1FQ5TjASpIUR3bOtRVdyixKHzkaZCTjdKXCzW9iGKff7BjZd09tat+4X2kFwDjjvBmxdMuqCsiTL&#10;IjiicNZ/QP7wEK60sR+YbJEzcqxheB5Tsl4Yu3ftXdxtQpYN536AXKBNjkenZ5EPGE4gORfOF6qA&#10;HJ21H8z3cTS+zq6zNEiT0XWQRkURzMp5GozK+PysOC3m8yL+4fLF6WTVVBUT7r6eJHH6Z0Po6Lof&#10;70ATI3lTuXSuJE92NucarQnQlFsPMNR+5BU+r8LjBk296ChO0ugqGQflKDsP0jI9C8bnURZE8fhq&#10;PIrScVqUzztaNIL9e0fPwD8qmkzcvIbGlpzQR8ed37bmyjm0Bm793EJHwz3dvGV3HBzddD+zGujr&#10;WfcKloRSJgY8vbfzqgH5twR2/h5tLypvCWZ9hL9ZCjsEt42Q2jP2BQWqx54C9d4fQDnq25l2u9wC&#10;lM5cymoHr1NLeDTwwIyiZQO4L4ixt0SDnMEmSLS9gaXmEl6K7CyMVlJ/e23f+QPB4RSjDchjjgXo&#10;N0b8owD1gYS2N3RvLHtDPLVzCUSOfS3ehABteW/WWrZfQbdn7g44IoLCTTm2vTm3e4kG3adsNvNO&#10;oJeK2IW4U9Sl9sNWsycLKuDF4YBEBxYopudSp+5Oko+/vdfhP2j6Ew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vIwKU8wIAAMs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46760C" w:rsidRDefault="001240C7">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3</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760C" w:rsidRDefault="001240C7">
      <w:r>
        <w:separator/>
      </w:r>
    </w:p>
  </w:footnote>
  <w:footnote w:type="continuationSeparator" w:id="0">
    <w:p w:rsidR="0046760C" w:rsidRDefault="001240C7">
      <w:r>
        <w:continuationSeparator/>
      </w:r>
    </w:p>
  </w:footnote>
  <w:footnote w:id="1">
    <w:p w:rsidR="0046760C" w:rsidRDefault="001240C7">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My independent observations. </w:t>
      </w:r>
    </w:p>
  </w:footnote>
  <w:footnote w:id="2">
    <w:p w:rsidR="0046760C" w:rsidRDefault="001240C7">
      <w:pPr>
        <w:pStyle w:val="FootnoteText"/>
        <w:jc w:val="both"/>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Wekesa S, &amp; Otieno N (2022) The duty to give reasons under Kenya’s Fair Administrative Action Act 2015 in Kenya: Seven years later Kabarak Journal of Law and Ethics 6 (1) 99 - 122</w:t>
      </w:r>
    </w:p>
  </w:footnote>
  <w:footnote w:id="3">
    <w:p w:rsidR="0046760C" w:rsidRDefault="001240C7">
      <w:pPr>
        <w:pStyle w:val="FootnoteText"/>
        <w:jc w:val="both"/>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Ibid. </w:t>
      </w:r>
    </w:p>
  </w:footnote>
  <w:footnote w:id="4">
    <w:p w:rsidR="0046760C" w:rsidRDefault="001240C7">
      <w:pPr>
        <w:pStyle w:val="FootnoteText"/>
        <w:jc w:val="both"/>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Ibid.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1B64BC9"/>
    <w:multiLevelType w:val="multilevel"/>
    <w:tmpl w:val="61B64BC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65FC4117"/>
    <w:multiLevelType w:val="multilevel"/>
    <w:tmpl w:val="65FC4117"/>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EE3"/>
    <w:rsid w:val="000014DB"/>
    <w:rsid w:val="0005091D"/>
    <w:rsid w:val="001240C7"/>
    <w:rsid w:val="00420A41"/>
    <w:rsid w:val="0046760C"/>
    <w:rsid w:val="004F3C8D"/>
    <w:rsid w:val="005A5911"/>
    <w:rsid w:val="006702B2"/>
    <w:rsid w:val="00775B9E"/>
    <w:rsid w:val="00836EE3"/>
    <w:rsid w:val="008D1003"/>
    <w:rsid w:val="00911778"/>
    <w:rsid w:val="00A30113"/>
    <w:rsid w:val="00B04B56"/>
    <w:rsid w:val="00BA77CE"/>
    <w:rsid w:val="17F819D5"/>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CE43D6-4739-43F4-B579-E752C8D6B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kern w:val="2"/>
      <w:sz w:val="24"/>
      <w:szCs w:val="24"/>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character" w:styleId="FootnoteReference">
    <w:name w:val="footnote reference"/>
    <w:basedOn w:val="DefaultParagraphFont"/>
    <w:uiPriority w:val="99"/>
    <w:semiHidden/>
    <w:unhideWhenUsed/>
    <w:qFormat/>
    <w:rPr>
      <w:vertAlign w:val="superscript"/>
    </w:rPr>
  </w:style>
  <w:style w:type="paragraph" w:styleId="FootnoteText">
    <w:name w:val="footnote text"/>
    <w:basedOn w:val="Normal"/>
    <w:link w:val="FootnoteTextChar"/>
    <w:uiPriority w:val="99"/>
    <w:semiHidden/>
    <w:unhideWhenUsed/>
    <w:rPr>
      <w:sz w:val="20"/>
      <w:szCs w:val="20"/>
    </w:rPr>
  </w:style>
  <w:style w:type="paragraph" w:styleId="Header">
    <w:name w:val="header"/>
    <w:basedOn w:val="Normal"/>
    <w:uiPriority w:val="99"/>
    <w:semiHidden/>
    <w:unhideWhenUsed/>
    <w:pPr>
      <w:tabs>
        <w:tab w:val="center" w:pos="4153"/>
        <w:tab w:val="right" w:pos="8306"/>
      </w:tabs>
      <w:snapToGrid w:val="0"/>
    </w:pPr>
    <w:rPr>
      <w:sz w:val="18"/>
      <w:szCs w:val="18"/>
    </w:rPr>
  </w:style>
  <w:style w:type="paragraph" w:styleId="ListParagraph">
    <w:name w:val="List Paragraph"/>
    <w:basedOn w:val="Normal"/>
    <w:uiPriority w:val="34"/>
    <w:qFormat/>
    <w:pPr>
      <w:ind w:left="720"/>
      <w:contextualSpacing/>
    </w:pPr>
  </w:style>
  <w:style w:type="character" w:customStyle="1" w:styleId="FootnoteTextChar">
    <w:name w:val="Footnote Text Char"/>
    <w:basedOn w:val="DefaultParagraphFont"/>
    <w:link w:val="FootnoteText"/>
    <w:uiPriority w:val="99"/>
    <w:semiHidden/>
    <w:rPr>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48B013-4860-49D5-9B9B-5F51421F3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3</Pages>
  <Words>634</Words>
  <Characters>3619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9</cp:revision>
  <cp:lastPrinted>2025-04-24T07:15:00Z</cp:lastPrinted>
  <dcterms:created xsi:type="dcterms:W3CDTF">2025-01-31T05:01:00Z</dcterms:created>
  <dcterms:modified xsi:type="dcterms:W3CDTF">2025-08-04T08:16:00Z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EFB5B0EE87CA4FFB8A5D3CFB932A4019_12</vt:lpwstr>
  </property>
</Properties>
</file>