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B5BE3">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Calibri" w:cs="Times New Roman"/>
          <w:b/>
          <w:bCs/>
          <w:sz w:val="24"/>
          <w:szCs w:val="24"/>
        </w:rPr>
      </w:pPr>
      <w:bookmarkStart w:id="0" w:name="_Hlk116777288"/>
      <w:r>
        <w:rPr>
          <w:rFonts w:ascii="Times New Roman" w:hAnsi="Times New Roman" w:eastAsia="Calibri" w:cs="Times New Roman"/>
          <w:b/>
          <w:bCs/>
          <w:sz w:val="24"/>
          <w:szCs w:val="24"/>
        </w:rPr>
        <w:t xml:space="preserve"> </w:t>
      </w:r>
      <w:r>
        <w:rPr>
          <w:rFonts w:ascii="Times New Roman" w:hAnsi="Times New Roman" w:eastAsia="Times New Roman" w:cs="Times New Roman"/>
          <w:sz w:val="24"/>
          <w:szCs w:val="24"/>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14:paraId="0770E823">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Calibri" w:cs="Times New Roman"/>
          <w:b/>
          <w:bCs/>
          <w:sz w:val="24"/>
          <w:szCs w:val="24"/>
        </w:rPr>
      </w:pPr>
    </w:p>
    <w:p w14:paraId="118643EF">
      <w:pPr>
        <w:keepNext/>
        <w:pBdr>
          <w:top w:val="none" w:color="auto" w:sz="0" w:space="0"/>
          <w:left w:val="none" w:color="auto" w:sz="0" w:space="0"/>
          <w:bottom w:val="none" w:color="auto" w:sz="0" w:space="0"/>
          <w:right w:val="none" w:color="auto" w:sz="0" w:space="0"/>
          <w:between w:val="none" w:color="auto" w:sz="0" w:space="0"/>
        </w:pBdr>
        <w:spacing w:after="0" w:line="360" w:lineRule="auto"/>
        <w:jc w:val="center"/>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shd w:val="clear" w:color="auto" w:fill="FFFFFF"/>
        </w:rPr>
        <w:t>RIARA SCHOOL OF INTERNATIONAL RELATIONS &amp; DIPLOMACY</w:t>
      </w:r>
    </w:p>
    <w:p w14:paraId="66E8EAA9">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i/>
          <w:spacing w:val="-15"/>
          <w:sz w:val="24"/>
          <w:szCs w:val="24"/>
        </w:rPr>
        <w:t>NURTURING INNOVATORS</w:t>
      </w:r>
    </w:p>
    <w:p w14:paraId="107F3023">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 xml:space="preserve">January-April 2026 TRIMESTER </w:t>
      </w:r>
    </w:p>
    <w:p w14:paraId="7A6660EA">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EXAMINATIONS FOR BACHELOR OF ARTS IN INTERNATIONAL RELATIONS &amp; DIPLOMACY</w:t>
      </w:r>
    </w:p>
    <w:p w14:paraId="44A0E5AC">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360" w:lineRule="auto"/>
        <w:jc w:val="center"/>
        <w:rPr>
          <w:rFonts w:ascii="Times New Roman" w:hAnsi="Times New Roman" w:eastAsia="Times New Roman" w:cs="Times New Roman"/>
          <w:b/>
          <w:bCs/>
          <w:spacing w:val="-15"/>
          <w:sz w:val="24"/>
          <w:szCs w:val="24"/>
          <w:lang w:eastAsia="zh-CN"/>
        </w:rPr>
      </w:pPr>
      <w:r>
        <w:rPr>
          <w:rFonts w:ascii="Times New Roman" w:hAnsi="Times New Roman" w:eastAsia="Times New Roman" w:cs="Times New Roman"/>
          <w:b/>
          <w:bCs/>
          <w:spacing w:val="-15"/>
          <w:sz w:val="24"/>
          <w:szCs w:val="24"/>
          <w:lang w:eastAsia="zh-CN"/>
        </w:rPr>
        <w:t>FULL-TIME PROGRAMME</w:t>
      </w:r>
    </w:p>
    <w:bookmarkEnd w:id="0"/>
    <w:p w14:paraId="6B97CA47">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sz w:val="24"/>
          <w:szCs w:val="24"/>
        </w:rPr>
        <w:t>RBIR 7418- GENDER AND INTERNATIONAL RELATIONS</w:t>
      </w:r>
    </w:p>
    <w:p w14:paraId="3937FAFB">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360" w:lineRule="auto"/>
        <w:jc w:val="both"/>
        <w:rPr>
          <w:rFonts w:ascii="Times New Roman" w:hAnsi="Times New Roman" w:eastAsia="Times New Roman" w:cs="Times New Roman"/>
          <w:b/>
          <w:caps/>
          <w:spacing w:val="-15"/>
          <w:sz w:val="24"/>
          <w:szCs w:val="24"/>
          <w:lang w:eastAsia="zh-CN"/>
        </w:rPr>
      </w:pPr>
      <w:r>
        <w:rPr>
          <w:rFonts w:hint="default" w:ascii="Times New Roman" w:hAnsi="Times New Roman" w:eastAsia="Times New Roman" w:cs="Times New Roman"/>
          <w:b/>
          <w:bCs/>
          <w:spacing w:val="-15"/>
          <w:sz w:val="24"/>
          <w:szCs w:val="24"/>
          <w:lang w:val="en-US" w:eastAsia="zh-CN"/>
        </w:rPr>
        <w:t>DATE; 13</w:t>
      </w:r>
      <w:r>
        <w:rPr>
          <w:rFonts w:hint="default" w:ascii="Times New Roman" w:hAnsi="Times New Roman" w:eastAsia="Times New Roman" w:cs="Times New Roman"/>
          <w:b/>
          <w:bCs/>
          <w:spacing w:val="-15"/>
          <w:sz w:val="24"/>
          <w:szCs w:val="24"/>
          <w:vertAlign w:val="superscript"/>
          <w:lang w:val="en-US" w:eastAsia="zh-CN"/>
        </w:rPr>
        <w:t>TH</w:t>
      </w:r>
      <w:r>
        <w:rPr>
          <w:rFonts w:hint="default" w:ascii="Times New Roman" w:hAnsi="Times New Roman" w:eastAsia="Times New Roman" w:cs="Times New Roman"/>
          <w:b/>
          <w:bCs/>
          <w:spacing w:val="-15"/>
          <w:sz w:val="24"/>
          <w:szCs w:val="24"/>
          <w:lang w:val="en-US" w:eastAsia="zh-CN"/>
        </w:rPr>
        <w:t xml:space="preserve"> APRIL 2026 </w:t>
      </w:r>
      <w:r>
        <w:rPr>
          <w:rFonts w:hint="default" w:ascii="Times New Roman" w:hAnsi="Times New Roman" w:eastAsia="Times New Roman" w:cs="Times New Roman"/>
          <w:b/>
          <w:bCs/>
          <w:spacing w:val="-15"/>
          <w:sz w:val="24"/>
          <w:szCs w:val="24"/>
          <w:lang w:val="en-US" w:eastAsia="zh-CN"/>
        </w:rPr>
        <w:tab/>
        <w:t/>
      </w:r>
      <w:r>
        <w:rPr>
          <w:rFonts w:hint="default" w:ascii="Times New Roman" w:hAnsi="Times New Roman" w:eastAsia="Times New Roman" w:cs="Times New Roman"/>
          <w:b/>
          <w:bCs/>
          <w:spacing w:val="-15"/>
          <w:sz w:val="24"/>
          <w:szCs w:val="24"/>
          <w:lang w:val="en-US" w:eastAsia="zh-CN"/>
        </w:rPr>
        <w:tab/>
      </w:r>
      <w:r>
        <w:rPr>
          <w:rFonts w:ascii="Times New Roman" w:hAnsi="Times New Roman" w:eastAsia="Times New Roman" w:cs="Times New Roman"/>
          <w:b/>
          <w:bCs/>
          <w:spacing w:val="-15"/>
          <w:sz w:val="24"/>
          <w:szCs w:val="24"/>
          <w:lang w:eastAsia="zh-CN"/>
        </w:rPr>
        <w:tab/>
      </w:r>
      <w:r>
        <w:rPr>
          <w:rFonts w:ascii="Times New Roman" w:hAnsi="Times New Roman" w:eastAsia="Times New Roman" w:cs="Times New Roman"/>
          <w:b/>
          <w:bCs/>
          <w:spacing w:val="-15"/>
          <w:sz w:val="24"/>
          <w:szCs w:val="24"/>
          <w:lang w:eastAsia="zh-CN"/>
        </w:rPr>
        <w:tab/>
      </w:r>
      <w:r>
        <w:rPr>
          <w:rFonts w:ascii="Times New Roman" w:hAnsi="Times New Roman" w:eastAsia="Times New Roman" w:cs="Times New Roman"/>
          <w:b/>
          <w:bCs/>
          <w:spacing w:val="-15"/>
          <w:sz w:val="24"/>
          <w:szCs w:val="24"/>
          <w:lang w:eastAsia="zh-CN"/>
        </w:rPr>
        <w:tab/>
      </w:r>
      <w:r>
        <w:rPr>
          <w:rFonts w:ascii="Times New Roman" w:hAnsi="Times New Roman" w:eastAsia="Times New Roman" w:cs="Times New Roman"/>
          <w:b/>
          <w:bCs/>
          <w:spacing w:val="-15"/>
          <w:sz w:val="24"/>
          <w:szCs w:val="24"/>
          <w:lang w:eastAsia="zh-CN"/>
        </w:rPr>
        <w:tab/>
      </w:r>
      <w:r>
        <w:rPr>
          <w:rFonts w:ascii="Times New Roman" w:hAnsi="Times New Roman" w:eastAsia="Times New Roman" w:cs="Times New Roman"/>
          <w:b/>
          <w:bCs/>
          <w:spacing w:val="-15"/>
          <w:sz w:val="24"/>
          <w:szCs w:val="24"/>
          <w:lang w:eastAsia="zh-CN"/>
        </w:rPr>
        <w:tab/>
      </w:r>
      <w:r>
        <w:rPr>
          <w:rFonts w:ascii="Times New Roman" w:hAnsi="Times New Roman" w:eastAsia="Times New Roman" w:cs="Times New Roman"/>
          <w:b/>
          <w:bCs/>
          <w:spacing w:val="-15"/>
          <w:sz w:val="24"/>
          <w:szCs w:val="24"/>
          <w:lang w:eastAsia="zh-CN"/>
        </w:rPr>
        <w:t xml:space="preserve">            TIME: 2 HOURS</w:t>
      </w:r>
    </w:p>
    <w:p w14:paraId="7ABE2B09">
      <w:pPr>
        <w:autoSpaceDE w:val="0"/>
        <w:autoSpaceDN w:val="0"/>
        <w:adjustRightInd w:val="0"/>
        <w:spacing w:after="0" w:line="360" w:lineRule="auto"/>
        <w:jc w:val="both"/>
        <w:rPr>
          <w:rFonts w:ascii="Times New Roman" w:hAnsi="Times New Roman" w:eastAsia="Calibri" w:cs="Times New Roman"/>
          <w:sz w:val="24"/>
          <w:szCs w:val="24"/>
          <w:u w:val="single"/>
        </w:rPr>
      </w:pPr>
      <w:r>
        <w:rPr>
          <w:rFonts w:ascii="Times New Roman" w:hAnsi="Times New Roman" w:eastAsia="Calibri" w:cs="Times New Roman"/>
          <w:b/>
          <w:bCs/>
          <w:sz w:val="24"/>
          <w:szCs w:val="24"/>
          <w:u w:val="single"/>
        </w:rPr>
        <w:t xml:space="preserve">GENERAL INSTRUCTIONS: </w:t>
      </w:r>
    </w:p>
    <w:p w14:paraId="6C85FDF0">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Students are NOT permitted to write on the examination paper during reading time. </w:t>
      </w:r>
    </w:p>
    <w:p w14:paraId="6B6BE230">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This is a closed book examination. Text book/Reference books/notes are not permitted. </w:t>
      </w:r>
    </w:p>
    <w:p w14:paraId="24D12AF9">
      <w:p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u w:val="single"/>
        </w:rPr>
        <w:t>SPECIAL INSTRUCTIONS</w:t>
      </w:r>
      <w:r>
        <w:rPr>
          <w:rFonts w:ascii="Times New Roman" w:hAnsi="Times New Roman"/>
          <w:b/>
          <w:bCs/>
          <w:sz w:val="24"/>
          <w:szCs w:val="24"/>
        </w:rPr>
        <w:t xml:space="preserve"> </w:t>
      </w:r>
    </w:p>
    <w:p w14:paraId="076A5CB7">
      <w:pPr>
        <w:pStyle w:val="15"/>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Write your REGISTRATION NO. Clearly on the answer booklet(s). </w:t>
      </w:r>
    </w:p>
    <w:p w14:paraId="16738C2F">
      <w:pPr>
        <w:pStyle w:val="15"/>
        <w:numPr>
          <w:ilvl w:val="0"/>
          <w:numId w:val="1"/>
        </w:numPr>
        <w:spacing w:after="0" w:line="480" w:lineRule="auto"/>
        <w:jc w:val="both"/>
        <w:rPr>
          <w:rFonts w:ascii="Times New Roman" w:hAnsi="Times New Roman"/>
          <w:bCs/>
          <w:sz w:val="24"/>
          <w:szCs w:val="24"/>
        </w:rPr>
      </w:pPr>
      <w:r>
        <w:rPr>
          <w:rFonts w:ascii="Times New Roman" w:hAnsi="Times New Roman"/>
          <w:sz w:val="24"/>
          <w:szCs w:val="24"/>
        </w:rPr>
        <w:t>Answer Question One and ANY other TWO questions.</w:t>
      </w:r>
    </w:p>
    <w:p w14:paraId="69D5A749">
      <w:pPr>
        <w:pStyle w:val="15"/>
        <w:numPr>
          <w:ilvl w:val="0"/>
          <w:numId w:val="1"/>
        </w:numPr>
        <w:autoSpaceDE w:val="0"/>
        <w:autoSpaceDN w:val="0"/>
        <w:adjustRightInd w:val="0"/>
        <w:spacing w:after="0" w:line="480" w:lineRule="auto"/>
        <w:jc w:val="both"/>
        <w:rPr>
          <w:rFonts w:ascii="Times New Roman" w:hAnsi="Times New Roman"/>
          <w:sz w:val="24"/>
          <w:szCs w:val="24"/>
        </w:rPr>
      </w:pPr>
      <w:r>
        <w:rPr>
          <w:rFonts w:ascii="Times New Roman" w:hAnsi="Times New Roman"/>
          <w:bCs/>
          <w:sz w:val="24"/>
          <w:szCs w:val="24"/>
        </w:rPr>
        <w:t xml:space="preserve">Questions in all sections should be answered in answer booklet(s) </w:t>
      </w:r>
    </w:p>
    <w:p w14:paraId="447F8EE9">
      <w:pPr>
        <w:pStyle w:val="15"/>
        <w:numPr>
          <w:ilvl w:val="0"/>
          <w:numId w:val="1"/>
        </w:numPr>
        <w:spacing w:after="160" w:line="480" w:lineRule="auto"/>
        <w:rPr>
          <w:rFonts w:ascii="Times New Roman" w:hAnsi="Times New Roman"/>
          <w:sz w:val="24"/>
          <w:szCs w:val="24"/>
        </w:rPr>
      </w:pPr>
      <w:r>
        <w:rPr>
          <w:rFonts w:ascii="Times New Roman" w:hAnsi="Times New Roman"/>
          <w:bCs/>
          <w:sz w:val="24"/>
          <w:szCs w:val="24"/>
        </w:rPr>
        <w:t>PLEASE start the answer to EACH question on a NEW PAGE</w:t>
      </w:r>
      <w:r>
        <w:rPr>
          <w:rFonts w:ascii="Times New Roman" w:hAnsi="Times New Roman"/>
          <w:sz w:val="24"/>
          <w:szCs w:val="24"/>
        </w:rPr>
        <w:t>.</w:t>
      </w:r>
    </w:p>
    <w:p w14:paraId="6C9A4FFE">
      <w:pPr>
        <w:pStyle w:val="15"/>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For the questions, write the number of the question on the answer booklet(s) in the order you answered.</w:t>
      </w:r>
    </w:p>
    <w:p w14:paraId="76FBAAD2">
      <w:pPr>
        <w:pStyle w:val="15"/>
        <w:numPr>
          <w:ilvl w:val="0"/>
          <w:numId w:val="1"/>
        </w:numPr>
        <w:spacing w:after="160" w:line="480" w:lineRule="auto"/>
        <w:rPr>
          <w:rFonts w:ascii="Times New Roman" w:hAnsi="Times New Roman"/>
          <w:sz w:val="24"/>
          <w:szCs w:val="24"/>
        </w:rPr>
      </w:pPr>
      <w:r>
        <w:rPr>
          <w:rFonts w:ascii="Times New Roman" w:hAnsi="Times New Roman"/>
          <w:sz w:val="24"/>
          <w:szCs w:val="24"/>
        </w:rPr>
        <w:t>Write on both sides of each leaf and indicate number of each question at the top of each page.</w:t>
      </w:r>
    </w:p>
    <w:p w14:paraId="2FD53BB1">
      <w:pPr>
        <w:pStyle w:val="15"/>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Write the answers in a paragraph form unless stated otherwise. </w:t>
      </w:r>
    </w:p>
    <w:p w14:paraId="225FC374">
      <w:pPr>
        <w:pStyle w:val="15"/>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Marks allocated to each question are shown at the end of the question. </w:t>
      </w:r>
    </w:p>
    <w:p w14:paraId="4ED9FDED">
      <w:pPr>
        <w:pStyle w:val="15"/>
        <w:numPr>
          <w:ilvl w:val="0"/>
          <w:numId w:val="1"/>
        </w:numPr>
        <w:spacing w:after="160" w:line="480" w:lineRule="auto"/>
        <w:rPr>
          <w:rFonts w:ascii="Times New Roman" w:hAnsi="Times New Roman"/>
          <w:sz w:val="24"/>
          <w:szCs w:val="24"/>
        </w:rPr>
      </w:pPr>
      <w:r>
        <w:rPr>
          <w:rFonts w:ascii="Times New Roman" w:hAnsi="Times New Roman"/>
          <w:sz w:val="24"/>
          <w:szCs w:val="24"/>
        </w:rPr>
        <w:t>All rough work must be done on the answer booklet and crossed through!</w:t>
      </w:r>
    </w:p>
    <w:p w14:paraId="1BEF3D33">
      <w:pPr>
        <w:pStyle w:val="15"/>
        <w:numPr>
          <w:ilvl w:val="0"/>
          <w:numId w:val="1"/>
        </w:numPr>
        <w:spacing w:after="160" w:line="480" w:lineRule="auto"/>
        <w:rPr>
          <w:rFonts w:ascii="Times New Roman" w:hAnsi="Times New Roman"/>
          <w:sz w:val="24"/>
          <w:szCs w:val="24"/>
        </w:rPr>
      </w:pPr>
      <w:r>
        <w:rPr>
          <w:rFonts w:ascii="Times New Roman" w:hAnsi="Times New Roman"/>
          <w:sz w:val="24"/>
          <w:szCs w:val="24"/>
        </w:rPr>
        <w:t>Use supplementary pages only when you have exhausted those in this book</w:t>
      </w:r>
    </w:p>
    <w:p w14:paraId="440B87AC">
      <w:pPr>
        <w:pStyle w:val="15"/>
        <w:numPr>
          <w:ilvl w:val="0"/>
          <w:numId w:val="1"/>
        </w:numPr>
        <w:spacing w:after="160" w:line="480" w:lineRule="auto"/>
        <w:rPr>
          <w:rFonts w:ascii="Times New Roman" w:hAnsi="Times New Roman"/>
          <w:sz w:val="24"/>
          <w:szCs w:val="24"/>
        </w:rPr>
      </w:pPr>
      <w:r>
        <w:rPr>
          <w:rFonts w:ascii="Times New Roman" w:hAnsi="Times New Roman"/>
          <w:sz w:val="24"/>
          <w:szCs w:val="24"/>
        </w:rPr>
        <w:t>Fasten the supplementary pages to the inside back cover of this booklet</w:t>
      </w:r>
    </w:p>
    <w:p w14:paraId="791DA291">
      <w:pPr>
        <w:spacing w:before="100" w:beforeAutospacing="1" w:after="100" w:afterAutospacing="1" w:line="240" w:lineRule="auto"/>
        <w:outlineLvl w:val="2"/>
        <w:rPr>
          <w:rFonts w:ascii="Times New Roman" w:hAnsi="Times New Roman" w:cs="Times New Roman"/>
          <w:b/>
          <w:sz w:val="24"/>
          <w:szCs w:val="24"/>
        </w:rPr>
      </w:pPr>
      <w:r>
        <w:rPr>
          <w:rFonts w:ascii="Times New Roman" w:hAnsi="Times New Roman" w:cs="Times New Roman"/>
          <w:b/>
          <w:sz w:val="24"/>
          <w:szCs w:val="24"/>
        </w:rPr>
        <w:t>SECTION ONE- COMPULSORY (20 Marks)</w:t>
      </w:r>
    </w:p>
    <w:p w14:paraId="0B7C9C9F">
      <w:pPr>
        <w:spacing w:before="100" w:beforeAutospacing="1" w:after="100" w:afterAutospacing="1" w:line="240" w:lineRule="auto"/>
        <w:jc w:val="both"/>
        <w:outlineLvl w:val="2"/>
        <w:rPr>
          <w:rFonts w:ascii="Times New Roman" w:hAnsi="Times New Roman" w:cs="Times New Roman"/>
          <w:sz w:val="24"/>
          <w:szCs w:val="24"/>
        </w:rPr>
      </w:pPr>
      <w:bookmarkStart w:id="1" w:name="_Hlk222740031"/>
      <w:r>
        <w:rPr>
          <w:rFonts w:ascii="Times New Roman" w:hAnsi="Times New Roman" w:cs="Times New Roman"/>
          <w:sz w:val="24"/>
          <w:szCs w:val="24"/>
        </w:rPr>
        <w:t>A regional organization is designing a post conflict reconstruction strategy for a country emerging from civil war. The peace agreement was negotiated primarily by male political and military elites. Women’s groups were consulted only informally. The reconstruction plan focuses heavily on rebuilding infrastructure and strengthening national defense institutions. There is limited attention to sexual violence survivors, community level reconciliation, or women’s participation in security institutions.</w:t>
      </w:r>
    </w:p>
    <w:p w14:paraId="46914838">
      <w:pPr>
        <w:spacing w:before="100" w:beforeAutospacing="1" w:after="100" w:afterAutospacing="1" w:line="240" w:lineRule="auto"/>
        <w:jc w:val="both"/>
        <w:outlineLvl w:val="2"/>
        <w:rPr>
          <w:rFonts w:ascii="Times New Roman" w:hAnsi="Times New Roman" w:cs="Times New Roman"/>
          <w:sz w:val="24"/>
          <w:szCs w:val="24"/>
        </w:rPr>
      </w:pPr>
      <w:r>
        <w:rPr>
          <w:rFonts w:ascii="Times New Roman" w:hAnsi="Times New Roman" w:cs="Times New Roman"/>
          <w:sz w:val="24"/>
          <w:szCs w:val="24"/>
        </w:rPr>
        <w:t>Six months later, civil society organizations criticize the plan, arguing that it reproduces pre war inequalities and ignores the gendered nature of both the conflict and the peace process. They call for structural reforms within state institutions, inclusive participation in security decision making, and policy integration that considers the different impacts of reconstruction on men and women.</w:t>
      </w:r>
    </w:p>
    <w:bookmarkEnd w:id="1"/>
    <w:p w14:paraId="586C623F">
      <w:pPr>
        <w:pStyle w:val="15"/>
        <w:numPr>
          <w:ilvl w:val="0"/>
          <w:numId w:val="2"/>
        </w:numPr>
        <w:spacing w:before="100" w:beforeAutospacing="1" w:after="100" w:afterAutospacing="1" w:line="240" w:lineRule="auto"/>
        <w:ind w:left="800" w:leftChars="0" w:hanging="360" w:firstLineChars="0"/>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Discuss how existing power structures may have influenced the peace agreement and reconstruction strategy.</w:t>
      </w:r>
    </w:p>
    <w:p w14:paraId="5101F6A2">
      <w:pPr>
        <w:pStyle w:val="15"/>
        <w:numPr>
          <w:ilvl w:val="0"/>
          <w:numId w:val="2"/>
        </w:numPr>
        <w:spacing w:before="100" w:beforeAutospacing="1" w:after="100" w:afterAutospacing="1" w:line="240" w:lineRule="auto"/>
        <w:ind w:left="800" w:leftChars="0" w:hanging="360" w:firstLineChars="0"/>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Explain the consequences of excluding women from formal peace negotiations and security planning.</w:t>
      </w:r>
    </w:p>
    <w:p w14:paraId="535F8655">
      <w:pPr>
        <w:pStyle w:val="15"/>
        <w:numPr>
          <w:ilvl w:val="0"/>
          <w:numId w:val="2"/>
        </w:numPr>
        <w:spacing w:before="100" w:beforeAutospacing="1" w:after="100" w:afterAutospacing="1" w:line="240" w:lineRule="auto"/>
        <w:ind w:left="800" w:leftChars="0" w:hanging="360" w:firstLineChars="0"/>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Examine how integrating gender perspectives into all stages of policy making could improve post conflict recovery.</w:t>
      </w:r>
    </w:p>
    <w:p w14:paraId="12B150C9">
      <w:pPr>
        <w:pStyle w:val="15"/>
        <w:numPr>
          <w:ilvl w:val="0"/>
          <w:numId w:val="2"/>
        </w:numPr>
        <w:spacing w:before="100" w:beforeAutospacing="1" w:after="100" w:afterAutospacing="1" w:line="240" w:lineRule="auto"/>
        <w:ind w:left="800" w:leftChars="0" w:hanging="360" w:firstLineChars="0"/>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Discuss how international frameworks on women, peace, and security could guide this process.</w:t>
      </w:r>
    </w:p>
    <w:p w14:paraId="3774E3B2">
      <w:pPr>
        <w:pStyle w:val="15"/>
        <w:numPr>
          <w:ilvl w:val="0"/>
          <w:numId w:val="2"/>
        </w:numPr>
        <w:spacing w:before="100" w:beforeAutospacing="1" w:after="100" w:afterAutospacing="1" w:line="240" w:lineRule="auto"/>
        <w:ind w:left="800" w:leftChars="0" w:hanging="360" w:firstLineChars="0"/>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Suggest practical measures that would make the reconstruction plan more inclusive and equitable.</w:t>
      </w:r>
    </w:p>
    <w:p w14:paraId="29C008ED">
      <w:pPr>
        <w:spacing w:before="100" w:beforeAutospacing="1" w:after="100" w:afterAutospacing="1" w:line="240" w:lineRule="auto"/>
        <w:jc w:val="center"/>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SECTION TWO- SELECT ANY 2 QUESTIONS (40 MARKS)</w:t>
      </w:r>
    </w:p>
    <w:p w14:paraId="52D0FEB4">
      <w:pPr>
        <w:spacing w:before="100" w:beforeAutospacing="1" w:after="100" w:afterAutospacing="1" w:line="240" w:lineRule="auto"/>
        <w:rPr>
          <w:rFonts w:hint="default" w:ascii="Times New Roman" w:hAnsi="Times New Roman" w:eastAsia="Times New Roman" w:cs="Times New Roman"/>
          <w:b/>
          <w:bCs/>
          <w:sz w:val="24"/>
          <w:szCs w:val="24"/>
          <w:lang w:val="en-US"/>
        </w:rPr>
      </w:pPr>
      <w:bookmarkStart w:id="2" w:name="_Hlk222739833"/>
      <w:r>
        <w:rPr>
          <w:rFonts w:hint="default" w:ascii="Times New Roman" w:hAnsi="Times New Roman" w:eastAsia="Times New Roman" w:cs="Times New Roman"/>
          <w:b/>
          <w:bCs/>
          <w:sz w:val="24"/>
          <w:szCs w:val="24"/>
          <w:lang w:val="en-US"/>
        </w:rPr>
        <w:t>QUESTION TWO</w:t>
      </w:r>
    </w:p>
    <w:p w14:paraId="6E72E296">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Compare and contrast liberal feminism and postcolonial feminism in their critique of mainstream International Relations theory.</w:t>
      </w:r>
      <w:r>
        <w:t xml:space="preserve"> </w:t>
      </w:r>
      <w:r>
        <w:rPr>
          <w:rFonts w:ascii="Times New Roman" w:hAnsi="Times New Roman" w:eastAsia="Times New Roman" w:cs="Times New Roman"/>
          <w:sz w:val="24"/>
          <w:szCs w:val="24"/>
        </w:rPr>
        <w:t>In your answer, evaluate how each perspective challenges core assumptions about power, sovereignty, and global order.</w:t>
      </w:r>
      <w:r>
        <w:rPr>
          <w:rFonts w:ascii="Times New Roman" w:hAnsi="Times New Roman" w:eastAsia="Times New Roman" w:cs="Times New Roman"/>
          <w:b/>
          <w:bCs/>
          <w:sz w:val="24"/>
          <w:szCs w:val="24"/>
        </w:rPr>
        <w:t xml:space="preserve"> </w:t>
      </w:r>
      <w:r>
        <w:rPr>
          <w:rFonts w:hint="default" w:ascii="Times New Roman" w:hAnsi="Times New Roman" w:eastAsia="Times New Roman" w:cs="Times New Roman"/>
          <w:b/>
          <w:bCs/>
          <w:sz w:val="24"/>
          <w:szCs w:val="24"/>
          <w:lang w:val="en-US"/>
        </w:rPr>
        <w:tab/>
      </w:r>
      <w:bookmarkStart w:id="3" w:name="_GoBack"/>
      <w:bookmarkEnd w:id="3"/>
      <w:r>
        <w:rPr>
          <w:rFonts w:ascii="Times New Roman" w:hAnsi="Times New Roman" w:eastAsia="Times New Roman" w:cs="Times New Roman"/>
          <w:b/>
          <w:bCs/>
          <w:sz w:val="24"/>
          <w:szCs w:val="24"/>
        </w:rPr>
        <w:t>(20 marks)</w:t>
      </w:r>
    </w:p>
    <w:bookmarkEnd w:id="2"/>
    <w:p w14:paraId="11CE818D">
      <w:pPr>
        <w:spacing w:before="100" w:beforeAutospacing="1" w:after="100" w:afterAutospacing="1" w:line="240" w:lineRule="auto"/>
        <w:rPr>
          <w:rFonts w:hint="default" w:ascii="Times New Roman" w:hAnsi="Times New Roman" w:eastAsia="Times New Roman" w:cs="Times New Roman"/>
          <w:b/>
          <w:bCs/>
          <w:sz w:val="24"/>
          <w:szCs w:val="24"/>
          <w:lang w:val="en-US"/>
        </w:rPr>
      </w:pPr>
      <w:r>
        <w:rPr>
          <w:rFonts w:hint="default" w:ascii="Times New Roman" w:hAnsi="Times New Roman" w:eastAsia="Times New Roman" w:cs="Times New Roman"/>
          <w:b/>
          <w:bCs/>
          <w:sz w:val="24"/>
          <w:szCs w:val="24"/>
          <w:lang w:val="en-US"/>
        </w:rPr>
        <w:t>QUESTION THREE</w:t>
      </w:r>
    </w:p>
    <w:p w14:paraId="7B71BBAC">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Analyze the challenges facing the implementation of gender-related human rights norms at the international level.</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lang w:val="en-US"/>
        </w:rPr>
        <w:tab/>
      </w:r>
      <w:r>
        <w:rPr>
          <w:rFonts w:ascii="Times New Roman" w:hAnsi="Times New Roman" w:eastAsia="Times New Roman" w:cs="Times New Roman"/>
          <w:b/>
          <w:bCs/>
          <w:sz w:val="24"/>
          <w:szCs w:val="24"/>
        </w:rPr>
        <w:t>(20 marks)</w:t>
      </w:r>
    </w:p>
    <w:p w14:paraId="3D70908E">
      <w:pPr>
        <w:spacing w:before="100" w:beforeAutospacing="1" w:after="100" w:afterAutospacing="1" w:line="240" w:lineRule="auto"/>
        <w:rPr>
          <w:rFonts w:hint="default" w:ascii="Times New Roman" w:hAnsi="Times New Roman" w:eastAsia="Times New Roman" w:cs="Times New Roman"/>
          <w:b/>
          <w:bCs/>
          <w:sz w:val="24"/>
          <w:szCs w:val="24"/>
          <w:lang w:val="en-US"/>
        </w:rPr>
      </w:pPr>
      <w:r>
        <w:rPr>
          <w:rFonts w:hint="default" w:ascii="Times New Roman" w:hAnsi="Times New Roman" w:eastAsia="Times New Roman" w:cs="Times New Roman"/>
          <w:b/>
          <w:bCs/>
          <w:sz w:val="24"/>
          <w:szCs w:val="24"/>
          <w:lang w:val="en-US"/>
        </w:rPr>
        <w:t>QUESTION FOUR</w:t>
      </w:r>
    </w:p>
    <w:p w14:paraId="6ED57D3B">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Examine the role of international organizations in promoting gender equality in global governance.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lang w:val="en-US"/>
        </w:rPr>
        <w:tab/>
      </w:r>
      <w:r>
        <w:rPr>
          <w:rFonts w:ascii="Times New Roman" w:hAnsi="Times New Roman" w:eastAsia="Times New Roman" w:cs="Times New Roman"/>
          <w:b/>
          <w:bCs/>
          <w:sz w:val="24"/>
          <w:szCs w:val="24"/>
        </w:rPr>
        <w:t>(20 marks)</w:t>
      </w:r>
    </w:p>
    <w:p w14:paraId="0860035F">
      <w:pPr>
        <w:spacing w:before="100" w:beforeAutospacing="1" w:after="100" w:afterAutospacing="1" w:line="240" w:lineRule="auto"/>
        <w:rPr>
          <w:rFonts w:hint="default" w:ascii="Times New Roman" w:hAnsi="Times New Roman" w:eastAsia="Times New Roman" w:cs="Times New Roman"/>
          <w:b/>
          <w:bCs/>
          <w:sz w:val="24"/>
          <w:szCs w:val="24"/>
          <w:lang w:val="en-US"/>
        </w:rPr>
      </w:pPr>
      <w:r>
        <w:rPr>
          <w:rFonts w:hint="default" w:ascii="Times New Roman" w:hAnsi="Times New Roman" w:eastAsia="Times New Roman" w:cs="Times New Roman"/>
          <w:b/>
          <w:bCs/>
          <w:sz w:val="24"/>
          <w:szCs w:val="24"/>
          <w:lang w:val="en-US"/>
        </w:rPr>
        <w:t>QUESTION FIVE</w:t>
      </w:r>
    </w:p>
    <w:p w14:paraId="2FAFD618">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Discuss two emerging global challenges and critically assess how incorporating gender perspectives reshapes conventional approaches to addressing them.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bCs/>
          <w:sz w:val="24"/>
          <w:szCs w:val="24"/>
        </w:rPr>
        <w:t>(20 marks)</w:t>
      </w:r>
    </w:p>
    <w:sectPr>
      <w:pgSz w:w="12240" w:h="15840"/>
      <w:pgMar w:top="100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Garamond">
    <w:panose1 w:val="02020404030301010803"/>
    <w:charset w:val="00"/>
    <w:family w:val="roman"/>
    <w:pitch w:val="default"/>
    <w:sig w:usb0="00000287" w:usb1="00000000" w:usb2="00000000" w:usb3="00000000" w:csb0="0000009F" w:csb1="DFD70000"/>
  </w:font>
  <w:font w:name="Segoe UI">
    <w:panose1 w:val="020B0502040204020203"/>
    <w:charset w:val="00"/>
    <w:family w:val="swiss"/>
    <w:pitch w:val="default"/>
    <w:sig w:usb0="E4002EFF" w:usb1="C000E47F"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60E361"/>
    <w:multiLevelType w:val="singleLevel"/>
    <w:tmpl w:val="3F60E361"/>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4AF71EB7"/>
    <w:multiLevelType w:val="multilevel"/>
    <w:tmpl w:val="4AF71EB7"/>
    <w:lvl w:ilvl="0" w:tentative="0">
      <w:start w:val="1"/>
      <w:numFmt w:val="decimal"/>
      <w:lvlText w:val="%1."/>
      <w:lvlJc w:val="left"/>
      <w:pPr>
        <w:ind w:left="360" w:hanging="360"/>
      </w:pPr>
      <w:rPr>
        <w:rFonts w:hint="default"/>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C30"/>
    <w:rsid w:val="001267BD"/>
    <w:rsid w:val="001636B0"/>
    <w:rsid w:val="00167C30"/>
    <w:rsid w:val="001838F6"/>
    <w:rsid w:val="004F09A1"/>
    <w:rsid w:val="005E5436"/>
    <w:rsid w:val="00CE610B"/>
    <w:rsid w:val="00D9049C"/>
    <w:rsid w:val="00F20870"/>
    <w:rsid w:val="00F33498"/>
    <w:rsid w:val="00F65E8D"/>
    <w:rsid w:val="28756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Garamond" w:hAnsi="Garamond"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Garamond" w:hAnsi="Garamond" w:eastAsiaTheme="minorHAnsi" w:cstheme="minorBidi"/>
      <w:sz w:val="22"/>
      <w:szCs w:val="22"/>
      <w:lang w:val="en-US" w:eastAsia="en-US" w:bidi="ar-SA"/>
    </w:rPr>
  </w:style>
  <w:style w:type="paragraph" w:styleId="2">
    <w:name w:val="heading 2"/>
    <w:basedOn w:val="1"/>
    <w:link w:val="11"/>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rPr>
  </w:style>
  <w:style w:type="paragraph" w:styleId="3">
    <w:name w:val="heading 3"/>
    <w:basedOn w:val="1"/>
    <w:link w:val="12"/>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rPr>
  </w:style>
  <w:style w:type="paragraph" w:styleId="4">
    <w:name w:val="heading 5"/>
    <w:basedOn w:val="1"/>
    <w:link w:val="13"/>
    <w:qFormat/>
    <w:uiPriority w:val="9"/>
    <w:pPr>
      <w:spacing w:before="100" w:beforeAutospacing="1" w:after="100" w:afterAutospacing="1" w:line="240" w:lineRule="auto"/>
      <w:outlineLvl w:val="4"/>
    </w:pPr>
    <w:rPr>
      <w:rFonts w:ascii="Times New Roman" w:hAnsi="Times New Roman" w:eastAsia="Times New Roman" w:cs="Times New Roman"/>
      <w:b/>
      <w:bCs/>
      <w:sz w:val="20"/>
      <w:szCs w:val="20"/>
    </w:rPr>
  </w:style>
  <w:style w:type="paragraph" w:styleId="5">
    <w:name w:val="heading 6"/>
    <w:basedOn w:val="1"/>
    <w:link w:val="14"/>
    <w:qFormat/>
    <w:uiPriority w:val="9"/>
    <w:pPr>
      <w:spacing w:before="100" w:beforeAutospacing="1" w:after="100" w:afterAutospacing="1" w:line="240" w:lineRule="auto"/>
      <w:outlineLvl w:val="5"/>
    </w:pPr>
    <w:rPr>
      <w:rFonts w:ascii="Times New Roman" w:hAnsi="Times New Roman" w:eastAsia="Times New Roman" w:cs="Times New Roman"/>
      <w:b/>
      <w:bCs/>
      <w:sz w:val="15"/>
      <w:szCs w:val="15"/>
    </w:rPr>
  </w:style>
  <w:style w:type="character" w:default="1" w:styleId="6">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16"/>
    <w:semiHidden/>
    <w:unhideWhenUsed/>
    <w:qFormat/>
    <w:uiPriority w:val="99"/>
    <w:pPr>
      <w:spacing w:after="0" w:line="240" w:lineRule="auto"/>
    </w:pPr>
    <w:rPr>
      <w:rFonts w:ascii="Segoe UI" w:hAnsi="Segoe UI" w:cs="Segoe UI"/>
      <w:sz w:val="18"/>
      <w:szCs w:val="18"/>
    </w:rPr>
  </w:style>
  <w:style w:type="paragraph" w:styleId="9">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0">
    <w:name w:val="Strong"/>
    <w:basedOn w:val="6"/>
    <w:qFormat/>
    <w:uiPriority w:val="22"/>
    <w:rPr>
      <w:b/>
      <w:bCs/>
    </w:rPr>
  </w:style>
  <w:style w:type="character" w:customStyle="1" w:styleId="11">
    <w:name w:val="Heading 2 Char"/>
    <w:basedOn w:val="6"/>
    <w:link w:val="2"/>
    <w:qFormat/>
    <w:uiPriority w:val="9"/>
    <w:rPr>
      <w:rFonts w:ascii="Times New Roman" w:hAnsi="Times New Roman" w:eastAsia="Times New Roman" w:cs="Times New Roman"/>
      <w:b/>
      <w:bCs/>
      <w:sz w:val="36"/>
      <w:szCs w:val="36"/>
    </w:rPr>
  </w:style>
  <w:style w:type="character" w:customStyle="1" w:styleId="12">
    <w:name w:val="Heading 3 Char"/>
    <w:basedOn w:val="6"/>
    <w:link w:val="3"/>
    <w:qFormat/>
    <w:uiPriority w:val="9"/>
    <w:rPr>
      <w:rFonts w:ascii="Times New Roman" w:hAnsi="Times New Roman" w:eastAsia="Times New Roman" w:cs="Times New Roman"/>
      <w:b/>
      <w:bCs/>
      <w:sz w:val="27"/>
      <w:szCs w:val="27"/>
    </w:rPr>
  </w:style>
  <w:style w:type="character" w:customStyle="1" w:styleId="13">
    <w:name w:val="Heading 5 Char"/>
    <w:basedOn w:val="6"/>
    <w:link w:val="4"/>
    <w:uiPriority w:val="9"/>
    <w:rPr>
      <w:rFonts w:ascii="Times New Roman" w:hAnsi="Times New Roman" w:eastAsia="Times New Roman" w:cs="Times New Roman"/>
      <w:b/>
      <w:bCs/>
      <w:sz w:val="20"/>
      <w:szCs w:val="20"/>
    </w:rPr>
  </w:style>
  <w:style w:type="character" w:customStyle="1" w:styleId="14">
    <w:name w:val="Heading 6 Char"/>
    <w:basedOn w:val="6"/>
    <w:link w:val="5"/>
    <w:qFormat/>
    <w:uiPriority w:val="9"/>
    <w:rPr>
      <w:rFonts w:ascii="Times New Roman" w:hAnsi="Times New Roman" w:eastAsia="Times New Roman" w:cs="Times New Roman"/>
      <w:b/>
      <w:bCs/>
      <w:sz w:val="15"/>
      <w:szCs w:val="15"/>
    </w:rPr>
  </w:style>
  <w:style w:type="paragraph" w:styleId="15">
    <w:name w:val="List Paragraph"/>
    <w:basedOn w:val="1"/>
    <w:qFormat/>
    <w:uiPriority w:val="34"/>
    <w:pPr>
      <w:ind w:left="720"/>
      <w:contextualSpacing/>
    </w:pPr>
  </w:style>
  <w:style w:type="character" w:customStyle="1" w:styleId="16">
    <w:name w:val="Balloon Text Char"/>
    <w:basedOn w:val="6"/>
    <w:link w:val="8"/>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513</Words>
  <Characters>2929</Characters>
  <Lines>24</Lines>
  <Paragraphs>6</Paragraphs>
  <TotalTime>2</TotalTime>
  <ScaleCrop>false</ScaleCrop>
  <LinksUpToDate>false</LinksUpToDate>
  <CharactersWithSpaces>3436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2026-01-29T08:54:00Z</dcterms:created>
  <dc:creator>Noellanne Mwololo</dc:creator>
  <cp:lastModifiedBy>hochieng</cp:lastModifiedBy>
  <dcterms:modified xsi:type="dcterms:W3CDTF">2026-04-10T15:09:11Z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055302FE67FB4D1CAF840A936D9E6DFC_12</vt:lpwstr>
  </property>
</Properties>
</file>