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116A" w:rsidRDefault="00515452">
      <w:pPr>
        <w:spacing w:after="0" w:line="360" w:lineRule="auto"/>
        <w:jc w:val="center"/>
        <w:rPr>
          <w:b/>
        </w:rPr>
      </w:pPr>
      <w:bookmarkStart w:id="0" w:name="_GoBack"/>
      <w:bookmarkEnd w:id="0"/>
      <w:r>
        <w:rPr>
          <w:noProof/>
          <w:lang w:val="en-US"/>
        </w:rPr>
        <w:drawing>
          <wp:inline distT="0" distB="0" distL="0" distR="0">
            <wp:extent cx="1790700" cy="1092200"/>
            <wp:effectExtent l="0" t="0" r="0" b="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90700" cy="1092200"/>
                    </a:xfrm>
                    <a:prstGeom prst="rect">
                      <a:avLst/>
                    </a:prstGeom>
                    <a:noFill/>
                    <a:ln>
                      <a:noFill/>
                    </a:ln>
                  </pic:spPr>
                </pic:pic>
              </a:graphicData>
            </a:graphic>
          </wp:inline>
        </w:drawing>
      </w:r>
    </w:p>
    <w:p w:rsidR="0026116A" w:rsidRDefault="00515452">
      <w:pPr>
        <w:spacing w:after="0" w:line="360" w:lineRule="auto"/>
        <w:jc w:val="center"/>
        <w:rPr>
          <w:b/>
        </w:rPr>
      </w:pPr>
      <w:r>
        <w:rPr>
          <w:b/>
        </w:rPr>
        <w:t>RIARA LAW SCHOOL</w:t>
      </w:r>
    </w:p>
    <w:p w:rsidR="0026116A" w:rsidRDefault="00515452">
      <w:pPr>
        <w:spacing w:after="0" w:line="360" w:lineRule="auto"/>
        <w:jc w:val="center"/>
        <w:rPr>
          <w:rFonts w:eastAsia="Calibri"/>
          <w:b/>
        </w:rPr>
      </w:pPr>
      <w:r>
        <w:rPr>
          <w:b/>
        </w:rPr>
        <w:t>UNIVERSITY OF EXAMINATION FOR BACHELOR OF LAWS (LLB) DEGREE</w:t>
      </w:r>
    </w:p>
    <w:p w:rsidR="0026116A" w:rsidRDefault="00515452">
      <w:pPr>
        <w:spacing w:after="0" w:line="360" w:lineRule="auto"/>
        <w:jc w:val="center"/>
        <w:rPr>
          <w:b/>
        </w:rPr>
      </w:pPr>
      <w:r>
        <w:rPr>
          <w:b/>
        </w:rPr>
        <w:t>21</w:t>
      </w:r>
      <w:r>
        <w:rPr>
          <w:b/>
          <w:vertAlign w:val="superscript"/>
        </w:rPr>
        <w:t>ST</w:t>
      </w:r>
      <w:r>
        <w:rPr>
          <w:b/>
        </w:rPr>
        <w:t xml:space="preserve"> AUGUST 2025</w:t>
      </w:r>
    </w:p>
    <w:p w:rsidR="0026116A" w:rsidRDefault="00515452">
      <w:pPr>
        <w:spacing w:after="0" w:line="360" w:lineRule="auto"/>
        <w:jc w:val="center"/>
        <w:rPr>
          <w:b/>
        </w:rPr>
      </w:pPr>
      <w:r>
        <w:rPr>
          <w:b/>
        </w:rPr>
        <w:t>RLB 206, ADMINISTRATIVE LAW I</w:t>
      </w:r>
    </w:p>
    <w:p w:rsidR="0026116A" w:rsidRDefault="00515452">
      <w:pPr>
        <w:spacing w:after="0" w:line="360" w:lineRule="auto"/>
        <w:jc w:val="center"/>
        <w:rPr>
          <w:b/>
        </w:rPr>
      </w:pPr>
      <w:r>
        <w:rPr>
          <w:b/>
        </w:rPr>
        <w:t>EXAMINER: MR. SAMUEL KYALO</w:t>
      </w:r>
    </w:p>
    <w:p w:rsidR="0026116A" w:rsidRDefault="0026116A">
      <w:pPr>
        <w:spacing w:after="0" w:line="360" w:lineRule="auto"/>
        <w:jc w:val="both"/>
        <w:rPr>
          <w:b/>
        </w:rPr>
      </w:pPr>
    </w:p>
    <w:p w:rsidR="0026116A" w:rsidRDefault="00515452">
      <w:pPr>
        <w:spacing w:after="0" w:line="360" w:lineRule="auto"/>
        <w:jc w:val="both"/>
        <w:rPr>
          <w:b/>
          <w:u w:val="single"/>
        </w:rPr>
      </w:pPr>
      <w:r>
        <w:rPr>
          <w:b/>
          <w:u w:val="single"/>
        </w:rPr>
        <w:t>INSTRUCTIONS</w:t>
      </w:r>
    </w:p>
    <w:p w:rsidR="0026116A" w:rsidRDefault="00515452">
      <w:pPr>
        <w:pStyle w:val="ListParagraph"/>
        <w:numPr>
          <w:ilvl w:val="0"/>
          <w:numId w:val="1"/>
        </w:numPr>
        <w:spacing w:after="0" w:line="360" w:lineRule="auto"/>
        <w:jc w:val="both"/>
      </w:pPr>
      <w:r>
        <w:t xml:space="preserve">This is the final examination in Administrative Law I.  You will earn 70% of your final </w:t>
      </w:r>
      <w:r>
        <w:t>grade from this final examination and 30% from Continuous Assessment Assignments.</w:t>
      </w:r>
    </w:p>
    <w:p w:rsidR="0026116A" w:rsidRDefault="00515452">
      <w:pPr>
        <w:pStyle w:val="ListParagraph"/>
        <w:numPr>
          <w:ilvl w:val="0"/>
          <w:numId w:val="1"/>
        </w:numPr>
        <w:spacing w:after="0" w:line="360" w:lineRule="auto"/>
        <w:jc w:val="both"/>
      </w:pPr>
      <w:r>
        <w:t xml:space="preserve">This examination has seven (7) pages, including this first page. The paper consists of </w:t>
      </w:r>
      <w:r>
        <w:rPr>
          <w:b/>
          <w:bCs/>
        </w:rPr>
        <w:t xml:space="preserve">SIX </w:t>
      </w:r>
      <w:r>
        <w:t xml:space="preserve">questions. Answer </w:t>
      </w:r>
      <w:r>
        <w:rPr>
          <w:b/>
          <w:bCs/>
        </w:rPr>
        <w:t>QUESTION ONE</w:t>
      </w:r>
      <w:r>
        <w:t xml:space="preserve"> and </w:t>
      </w:r>
      <w:r>
        <w:rPr>
          <w:b/>
          <w:bCs/>
        </w:rPr>
        <w:t>ANY OTHER TWO</w:t>
      </w:r>
      <w:r>
        <w:t xml:space="preserve"> questions. </w:t>
      </w:r>
      <w:bookmarkStart w:id="1" w:name="_Hlk164418239"/>
    </w:p>
    <w:bookmarkEnd w:id="1"/>
    <w:p w:rsidR="0026116A" w:rsidRDefault="00515452">
      <w:pPr>
        <w:pStyle w:val="ListParagraph"/>
        <w:numPr>
          <w:ilvl w:val="0"/>
          <w:numId w:val="1"/>
        </w:numPr>
        <w:spacing w:after="0" w:line="360" w:lineRule="auto"/>
        <w:jc w:val="both"/>
      </w:pPr>
      <w:r>
        <w:t>Time allocated for thi</w:t>
      </w:r>
      <w:r>
        <w:t xml:space="preserve">s examination is </w:t>
      </w:r>
      <w:r>
        <w:rPr>
          <w:b/>
          <w:u w:val="single"/>
        </w:rPr>
        <w:t>TWO (2) HOURS</w:t>
      </w:r>
      <w:r>
        <w:t>.  You must stop writing when time is called.</w:t>
      </w:r>
    </w:p>
    <w:p w:rsidR="0026116A" w:rsidRDefault="00515452">
      <w:pPr>
        <w:pStyle w:val="ListParagraph"/>
        <w:numPr>
          <w:ilvl w:val="0"/>
          <w:numId w:val="1"/>
        </w:numPr>
        <w:spacing w:after="0" w:line="360" w:lineRule="auto"/>
        <w:jc w:val="both"/>
      </w:pPr>
      <w:r>
        <w:t>Please sign the roll sheet when you turn in you answer sheet.  If you fail to sign the roll sheet, we shall have no way of establishing that you sat for this examination and your m</w:t>
      </w:r>
      <w:r>
        <w:t>arks will not be reported.</w:t>
      </w:r>
    </w:p>
    <w:p w:rsidR="0026116A" w:rsidRDefault="00515452">
      <w:pPr>
        <w:pStyle w:val="ListParagraph"/>
        <w:numPr>
          <w:ilvl w:val="0"/>
          <w:numId w:val="1"/>
        </w:numPr>
        <w:spacing w:after="0" w:line="360" w:lineRule="auto"/>
        <w:jc w:val="both"/>
      </w:pPr>
      <w:r>
        <w:t xml:space="preserve">This is a </w:t>
      </w:r>
      <w:r>
        <w:rPr>
          <w:b/>
          <w:u w:val="single"/>
        </w:rPr>
        <w:t>CLOSED BOOK</w:t>
      </w:r>
      <w:r>
        <w:t xml:space="preserve"> examination.  This means you are not permitted to bring ANY hard or soft materials to the examination room.  You re also not allowed to access materials stored in computers, electronic gadgets or the interne</w:t>
      </w:r>
      <w:r>
        <w:t>t.  You should not bring to the examination room any of the following: cell phones, tablets, computers, statutes, notes, outlines, or books.  Neither should you bring to the examination room books or materials unrelated to this course.  If you need to have</w:t>
      </w:r>
      <w:r>
        <w:t xml:space="preserve"> medicine or food items with you, please let the invigilator know before the examination begins.</w:t>
      </w:r>
    </w:p>
    <w:p w:rsidR="0026116A" w:rsidRDefault="00515452">
      <w:pPr>
        <w:pStyle w:val="ListParagraph"/>
        <w:numPr>
          <w:ilvl w:val="0"/>
          <w:numId w:val="1"/>
        </w:numPr>
        <w:spacing w:after="0" w:line="360" w:lineRule="auto"/>
        <w:jc w:val="both"/>
      </w:pPr>
      <w:r>
        <w:t xml:space="preserve">This examination is governed by </w:t>
      </w:r>
      <w:r>
        <w:rPr>
          <w:b/>
        </w:rPr>
        <w:t>Riara University Academic Honesty Regulations.</w:t>
      </w:r>
      <w:r>
        <w:t xml:space="preserve"> Students who violate those regulations will be penalised.  Students have an obli</w:t>
      </w:r>
      <w:r>
        <w:t>gation to report to the invigilator any incidences of academic dishonesty compromising the integrity of this examination.</w:t>
      </w:r>
    </w:p>
    <w:p w:rsidR="0026116A" w:rsidRDefault="00515452">
      <w:pPr>
        <w:spacing w:line="360" w:lineRule="auto"/>
        <w:jc w:val="both"/>
        <w:rPr>
          <w:b/>
        </w:rPr>
      </w:pPr>
      <w:r>
        <w:rPr>
          <w:b/>
        </w:rPr>
        <w:lastRenderedPageBreak/>
        <w:t xml:space="preserve">QUESTION ONE </w:t>
      </w:r>
    </w:p>
    <w:p w:rsidR="0026116A" w:rsidRDefault="00515452">
      <w:pPr>
        <w:pStyle w:val="BodyText"/>
      </w:pPr>
      <w:r>
        <w:t xml:space="preserve">Until last month, Flash Movers Sacco Limited </w:t>
      </w:r>
      <w:r>
        <w:rPr>
          <w:b/>
          <w:bCs/>
        </w:rPr>
        <w:t>(“Flash Movers”)</w:t>
      </w:r>
      <w:r>
        <w:t xml:space="preserve"> was one of the busiest matatu (public service vehicle) ope</w:t>
      </w:r>
      <w:r>
        <w:t>rators in Nairobi. Flash Movers managed a fleet of fifty-three (53) matatus plying various routes in Nairobi.</w:t>
      </w:r>
    </w:p>
    <w:p w:rsidR="0026116A" w:rsidRDefault="00515452">
      <w:pPr>
        <w:pStyle w:val="BodyText"/>
      </w:pPr>
      <w:r>
        <w:t>On 5</w:t>
      </w:r>
      <w:r>
        <w:rPr>
          <w:vertAlign w:val="superscript"/>
        </w:rPr>
        <w:t>th</w:t>
      </w:r>
      <w:r>
        <w:t xml:space="preserve"> July 2025, a viral video circulated on social media (including TikTok and Facebook) showing a conductor of one of Flash Movers’ buses, one </w:t>
      </w:r>
      <w:r>
        <w:t xml:space="preserve">Kevin Makali, spitting on a female passenger during a fare dispute. Outraged Kenyans flooded the National Transport and Safety Authority </w:t>
      </w:r>
      <w:r>
        <w:rPr>
          <w:b/>
          <w:bCs/>
        </w:rPr>
        <w:t>(“NTSA”)</w:t>
      </w:r>
      <w:r>
        <w:t xml:space="preserve"> hotline and social media pages with demands for action. In response, NTSA’s Director General, John Mungwana, i</w:t>
      </w:r>
      <w:r>
        <w:t xml:space="preserve">ssued a press statement announcing that Flash Movers Sacco’s operating licence was suspended indefinitely in </w:t>
      </w:r>
      <w:r>
        <w:rPr>
          <w:i/>
          <w:iCs/>
        </w:rPr>
        <w:t xml:space="preserve">order “to protect public safety and confidence in the Public Service Vehicle (PSV) sector.” </w:t>
      </w:r>
      <w:r>
        <w:t>In the same statement, NTSA declared that Kevin Makali’</w:t>
      </w:r>
      <w:r>
        <w:t>s PSV conductor licence was revoked, effective immediately. Neither Flash Movers nor Kevin received any formal notice addressed to them by NTSA; they only learned of the suspension on 6</w:t>
      </w:r>
      <w:r>
        <w:rPr>
          <w:vertAlign w:val="superscript"/>
        </w:rPr>
        <w:t>th</w:t>
      </w:r>
      <w:r>
        <w:t xml:space="preserve"> July 2025 when police officers impounded one of the company’s buses </w:t>
      </w:r>
      <w:r>
        <w:t>along Mombasa Road.</w:t>
      </w:r>
    </w:p>
    <w:p w:rsidR="0026116A" w:rsidRDefault="00515452">
      <w:pPr>
        <w:spacing w:line="360" w:lineRule="auto"/>
        <w:jc w:val="both"/>
        <w:rPr>
          <w:lang w:val="zh-CN"/>
        </w:rPr>
      </w:pPr>
      <w:r>
        <w:rPr>
          <w:lang w:val="zh-CN"/>
        </w:rPr>
        <w:t xml:space="preserve">Shocked by the sudden suspension, Flash Movers’ director promptly instructed a firm of Advocates to challenge the suspension, and an appeal was filed before the Transport Licensing Appeals Board </w:t>
      </w:r>
      <w:r>
        <w:rPr>
          <w:b/>
          <w:bCs/>
          <w:lang w:val="zh-CN"/>
        </w:rPr>
        <w:t>(“the Appeals Board”)</w:t>
      </w:r>
      <w:r>
        <w:rPr>
          <w:lang w:val="zh-CN"/>
        </w:rPr>
        <w:t xml:space="preserve"> on 11</w:t>
      </w:r>
      <w:r>
        <w:rPr>
          <w:vertAlign w:val="superscript"/>
          <w:lang w:val="zh-CN"/>
        </w:rPr>
        <w:t>th</w:t>
      </w:r>
      <w:r>
        <w:rPr>
          <w:lang w:val="zh-CN"/>
        </w:rPr>
        <w:t xml:space="preserve"> July 2025. </w:t>
      </w:r>
    </w:p>
    <w:p w:rsidR="0026116A" w:rsidRDefault="00515452">
      <w:pPr>
        <w:spacing w:line="360" w:lineRule="auto"/>
        <w:jc w:val="both"/>
        <w:rPr>
          <w:lang w:val="zh-CN"/>
        </w:rPr>
      </w:pPr>
      <w:r>
        <w:rPr>
          <w:lang w:val="zh-CN"/>
        </w:rPr>
        <w:t>A hearing was scheduled for 18</w:t>
      </w:r>
      <w:r>
        <w:rPr>
          <w:vertAlign w:val="superscript"/>
          <w:lang w:val="zh-CN"/>
        </w:rPr>
        <w:t>th</w:t>
      </w:r>
      <w:r>
        <w:rPr>
          <w:lang w:val="zh-CN"/>
        </w:rPr>
        <w:t xml:space="preserve"> July 2025. Prior to the hearing, Flash Movers’ Advocate discovered that the Chair of the Appeals Board, one Mr. Mark Tumbo, is also a director and majority shareholder of Mambo Leo Transporters Ltd, a major matatu company </w:t>
      </w:r>
      <w:r>
        <w:rPr>
          <w:lang w:val="zh-CN"/>
        </w:rPr>
        <w:t>that competes on the same routes as Flash Movers. On this basis, Flash Movers’ Advocate immediately objected to Mr. Tumbo presiding over the appeal, citing a conflict of interest and potential bias. The Chair acknowledged the objection but overruled it, st</w:t>
      </w:r>
      <w:r>
        <w:rPr>
          <w:lang w:val="zh-CN"/>
        </w:rPr>
        <w:t>ating that the Board was confident it could adjudicate the matter fairly and that the hearing would proceed immediately, noting the public interest generated by the dispute.</w:t>
      </w:r>
    </w:p>
    <w:p w:rsidR="0026116A" w:rsidRDefault="00515452">
      <w:pPr>
        <w:spacing w:line="360" w:lineRule="auto"/>
        <w:jc w:val="both"/>
        <w:rPr>
          <w:lang w:val="zh-CN"/>
        </w:rPr>
      </w:pPr>
      <w:r>
        <w:rPr>
          <w:lang w:val="zh-CN"/>
        </w:rPr>
        <w:t>During the proceedings, the Appeals Board gave Flash Movers only 10 minutes to pre</w:t>
      </w:r>
      <w:r>
        <w:rPr>
          <w:lang w:val="zh-CN"/>
        </w:rPr>
        <w:t xml:space="preserve">sent its case. When Flash Movers’ Advocate attempted to explain that the viral video was AI generated and not authentic, the Chair interrupted: </w:t>
      </w:r>
      <w:r>
        <w:rPr>
          <w:i/>
          <w:iCs/>
          <w:lang w:val="zh-CN"/>
        </w:rPr>
        <w:t xml:space="preserve">“Don’t you think NTSA was justified in preventing criminals from </w:t>
      </w:r>
      <w:r>
        <w:rPr>
          <w:i/>
          <w:iCs/>
          <w:lang w:val="zh-CN"/>
        </w:rPr>
        <w:lastRenderedPageBreak/>
        <w:t>operating PSVs?”</w:t>
      </w:r>
      <w:r>
        <w:rPr>
          <w:lang w:val="zh-CN"/>
        </w:rPr>
        <w:t xml:space="preserve"> The Advocate protested that such remarks were a clear demonstration of bias, but he was instructed to </w:t>
      </w:r>
      <w:r>
        <w:rPr>
          <w:i/>
          <w:iCs/>
          <w:lang w:val="zh-CN"/>
        </w:rPr>
        <w:t>“stick to the facts and avoid sideshows.”</w:t>
      </w:r>
      <w:r>
        <w:rPr>
          <w:lang w:val="zh-CN"/>
        </w:rPr>
        <w:t xml:space="preserve"> The Board further refused to allow Kevin Makali to testify or give his side of the story during the hearing. At</w:t>
      </w:r>
      <w:r>
        <w:rPr>
          <w:lang w:val="zh-CN"/>
        </w:rPr>
        <w:t xml:space="preserve"> the conclusion of the session, the Appeals Board upheld NTSA’s decision.</w:t>
      </w:r>
    </w:p>
    <w:p w:rsidR="0026116A" w:rsidRDefault="00515452">
      <w:pPr>
        <w:pStyle w:val="BodyText"/>
        <w:rPr>
          <w:lang w:val="en-GB"/>
        </w:rPr>
      </w:pPr>
      <w:r>
        <w:rPr>
          <w:lang w:val="en-GB"/>
        </w:rPr>
        <w:t>A week later, Kevin Makali and Flash Movers’ Managing Director visit your newly established law firm, Sharp &amp; Smart Advocates LLP, seeking legal advice. They are aggrieved by the con</w:t>
      </w:r>
      <w:r>
        <w:rPr>
          <w:lang w:val="en-GB"/>
        </w:rPr>
        <w:t xml:space="preserve">duct of both NTSA and the Appeals Board, and they have retained you to evaluate the situation. </w:t>
      </w:r>
    </w:p>
    <w:p w:rsidR="0026116A" w:rsidRDefault="00515452">
      <w:pPr>
        <w:spacing w:line="360" w:lineRule="auto"/>
        <w:jc w:val="both"/>
        <w:rPr>
          <w:i/>
        </w:rPr>
      </w:pPr>
      <w:r>
        <w:rPr>
          <w:i/>
        </w:rPr>
        <w:t>Required:</w:t>
      </w:r>
    </w:p>
    <w:p w:rsidR="0026116A" w:rsidRDefault="00515452">
      <w:pPr>
        <w:pStyle w:val="ListParagraph"/>
        <w:numPr>
          <w:ilvl w:val="0"/>
          <w:numId w:val="2"/>
        </w:numPr>
        <w:spacing w:line="360" w:lineRule="auto"/>
        <w:jc w:val="both"/>
        <w:rPr>
          <w:i/>
        </w:rPr>
      </w:pPr>
      <w:r>
        <w:rPr>
          <w:iCs/>
        </w:rPr>
        <w:t xml:space="preserve">With reference to relevant authorities, advise your clients on what type of administrative action was taken by NTSA, and whether NTSA violated </w:t>
      </w:r>
      <w:r>
        <w:rPr>
          <w:b/>
          <w:bCs/>
          <w:iCs/>
        </w:rPr>
        <w:t>any adm</w:t>
      </w:r>
      <w:r>
        <w:rPr>
          <w:b/>
          <w:bCs/>
          <w:iCs/>
        </w:rPr>
        <w:t>inistrative law principles</w:t>
      </w:r>
      <w:r>
        <w:rPr>
          <w:iCs/>
        </w:rPr>
        <w:t xml:space="preserve"> in this scenario.</w:t>
      </w:r>
      <w:r>
        <w:rPr>
          <w:b/>
          <w:bCs/>
          <w:iCs/>
        </w:rPr>
        <w:t xml:space="preserve"> (15 marks)</w:t>
      </w:r>
    </w:p>
    <w:p w:rsidR="0026116A" w:rsidRDefault="00515452">
      <w:pPr>
        <w:pStyle w:val="ListParagraph"/>
        <w:numPr>
          <w:ilvl w:val="0"/>
          <w:numId w:val="2"/>
        </w:numPr>
        <w:spacing w:line="360" w:lineRule="auto"/>
        <w:jc w:val="both"/>
        <w:rPr>
          <w:iCs/>
        </w:rPr>
      </w:pPr>
      <w:r>
        <w:rPr>
          <w:iCs/>
        </w:rPr>
        <w:t xml:space="preserve">With reference to relevant authorities, advise your clients on what type of administrative action was taken by the Appeals Board, and whether any </w:t>
      </w:r>
      <w:r>
        <w:rPr>
          <w:b/>
          <w:bCs/>
          <w:iCs/>
        </w:rPr>
        <w:t>rules of natural justice</w:t>
      </w:r>
      <w:r>
        <w:rPr>
          <w:iCs/>
        </w:rPr>
        <w:t xml:space="preserve"> were violated by the Appeals Board. </w:t>
      </w:r>
      <w:r>
        <w:rPr>
          <w:b/>
          <w:bCs/>
          <w:iCs/>
        </w:rPr>
        <w:t>(15 marks)</w:t>
      </w:r>
    </w:p>
    <w:p w:rsidR="0026116A" w:rsidRDefault="00515452">
      <w:pPr>
        <w:pStyle w:val="NormalWeb"/>
        <w:spacing w:before="0" w:beforeAutospacing="0" w:after="160" w:afterAutospacing="0" w:line="360" w:lineRule="auto"/>
        <w:jc w:val="both"/>
        <w:rPr>
          <w:b/>
        </w:rPr>
      </w:pPr>
      <w:r>
        <w:rPr>
          <w:b/>
        </w:rPr>
        <w:t>QUESTION TWO</w:t>
      </w:r>
    </w:p>
    <w:p w:rsidR="0026116A" w:rsidRDefault="00515452">
      <w:pPr>
        <w:pStyle w:val="NormalWeb"/>
        <w:spacing w:line="360" w:lineRule="auto"/>
        <w:jc w:val="both"/>
        <w:rPr>
          <w:bCs/>
        </w:rPr>
      </w:pPr>
      <w:r>
        <w:rPr>
          <w:bCs/>
        </w:rPr>
        <w:t xml:space="preserve">In June 2025, Professor Winnie Mamba, the Cabinet Secretary for Interior and National Administration, attended the </w:t>
      </w:r>
      <w:r>
        <w:rPr>
          <w:bCs/>
          <w:i/>
          <w:iCs/>
        </w:rPr>
        <w:t>“African Peace and Security Annual Conference (APSACO)”</w:t>
      </w:r>
      <w:r>
        <w:rPr>
          <w:bCs/>
        </w:rPr>
        <w:t xml:space="preserve"> in Arusha, Tanzania. The</w:t>
      </w:r>
      <w:r>
        <w:rPr>
          <w:bCs/>
        </w:rPr>
        <w:t xml:space="preserve"> conference, which brought together government officials from across East and West Africa, focused on governance challenges including the maintenance of public order. Inspired by presentations from her counterparts in countries such as Tanzania, Rwanda, an</w:t>
      </w:r>
      <w:r>
        <w:rPr>
          <w:bCs/>
        </w:rPr>
        <w:t xml:space="preserve">d Côte d’Ivoire, Professor Mamba returned to Kenya convinced that Kenya’s legal framework governing the right to protest was </w:t>
      </w:r>
      <w:r>
        <w:rPr>
          <w:bCs/>
          <w:i/>
          <w:iCs/>
        </w:rPr>
        <w:t>“outdated and overly permissive.”</w:t>
      </w:r>
      <w:r>
        <w:rPr>
          <w:bCs/>
        </w:rPr>
        <w:t xml:space="preserve"> </w:t>
      </w:r>
    </w:p>
    <w:p w:rsidR="0026116A" w:rsidRDefault="00515452">
      <w:pPr>
        <w:pStyle w:val="NormalWeb"/>
        <w:spacing w:before="0" w:beforeAutospacing="0" w:after="160" w:afterAutospacing="0" w:line="360" w:lineRule="auto"/>
        <w:jc w:val="both"/>
        <w:rPr>
          <w:bCs/>
        </w:rPr>
      </w:pPr>
      <w:r>
        <w:rPr>
          <w:bCs/>
        </w:rPr>
        <w:t xml:space="preserve">Assisted by his policy advisor, </w:t>
      </w:r>
      <w:r>
        <w:t>Dr. Yash Ndio, Professor Mamba swiftly drafted the</w:t>
      </w:r>
      <w:r>
        <w:rPr>
          <w:bCs/>
        </w:rPr>
        <w:t xml:space="preserve"> </w:t>
      </w:r>
      <w:r>
        <w:rPr>
          <w:b/>
          <w:bCs/>
          <w:i/>
          <w:iCs/>
        </w:rPr>
        <w:t xml:space="preserve">Public Order </w:t>
      </w:r>
      <w:r>
        <w:rPr>
          <w:b/>
          <w:bCs/>
          <w:i/>
          <w:iCs/>
        </w:rPr>
        <w:t>(Management of Assemblies) Regulations 2025</w:t>
      </w:r>
      <w:r>
        <w:rPr>
          <w:bCs/>
        </w:rPr>
        <w:t>. She announced these new regulations on his personal Facebook page on 4</w:t>
      </w:r>
      <w:r>
        <w:rPr>
          <w:bCs/>
          <w:vertAlign w:val="superscript"/>
        </w:rPr>
        <w:t>th</w:t>
      </w:r>
      <w:r>
        <w:rPr>
          <w:bCs/>
        </w:rPr>
        <w:t xml:space="preserve"> July 2025, declaring that they would take effect immediately. However, she neither published the regulations in the Kenya Gazette nor subj</w:t>
      </w:r>
      <w:r>
        <w:rPr>
          <w:bCs/>
        </w:rPr>
        <w:t xml:space="preserve">ected them to any public consultation. In her Facebook post, she explained that </w:t>
      </w:r>
      <w:r>
        <w:rPr>
          <w:bCs/>
          <w:i/>
          <w:iCs/>
        </w:rPr>
        <w:t>“in the Ministry’s view, unnecessary consultations and gazettement would have delayed the reforms, which are long overdue.”</w:t>
      </w:r>
      <w:r>
        <w:rPr>
          <w:bCs/>
        </w:rPr>
        <w:t xml:space="preserve"> </w:t>
      </w:r>
    </w:p>
    <w:p w:rsidR="0026116A" w:rsidRDefault="00515452">
      <w:pPr>
        <w:pStyle w:val="NormalWeb"/>
        <w:spacing w:line="360" w:lineRule="auto"/>
        <w:jc w:val="both"/>
        <w:rPr>
          <w:b/>
          <w:bCs/>
          <w:i/>
          <w:iCs/>
          <w:lang w:val="zh-CN"/>
        </w:rPr>
      </w:pPr>
      <w:r>
        <w:rPr>
          <w:bCs/>
        </w:rPr>
        <w:lastRenderedPageBreak/>
        <w:t>The new Regulations contain several controversial p</w:t>
      </w:r>
      <w:r>
        <w:rPr>
          <w:bCs/>
        </w:rPr>
        <w:t>rovisions that have become the subject of intense public debate. Two key provisions are:</w:t>
      </w:r>
      <w:r>
        <w:rPr>
          <w:b/>
          <w:bCs/>
          <w:i/>
          <w:iCs/>
          <w:lang w:val="zh-CN"/>
        </w:rPr>
        <w:t xml:space="preserve"> </w:t>
      </w:r>
    </w:p>
    <w:p w:rsidR="0026116A" w:rsidRDefault="00515452">
      <w:pPr>
        <w:pStyle w:val="NormalWeb"/>
        <w:spacing w:line="360" w:lineRule="auto"/>
        <w:ind w:left="720"/>
        <w:jc w:val="both"/>
        <w:rPr>
          <w:b/>
          <w:bCs/>
          <w:i/>
          <w:iCs/>
          <w:lang w:val="zh-CN"/>
        </w:rPr>
      </w:pPr>
      <w:r>
        <w:rPr>
          <w:b/>
          <w:bCs/>
          <w:i/>
          <w:iCs/>
          <w:lang w:val="zh-CN"/>
        </w:rPr>
        <w:t>Regulation 3: Authorisation of Public Gatherings</w:t>
      </w:r>
    </w:p>
    <w:p w:rsidR="0026116A" w:rsidRDefault="00515452">
      <w:pPr>
        <w:pStyle w:val="NormalWeb"/>
        <w:spacing w:line="360" w:lineRule="auto"/>
        <w:ind w:left="720"/>
        <w:jc w:val="both"/>
        <w:rPr>
          <w:i/>
          <w:iCs/>
          <w:lang w:val="zh-CN"/>
        </w:rPr>
      </w:pPr>
      <w:r>
        <w:rPr>
          <w:i/>
          <w:iCs/>
          <w:lang w:val="zh-CN"/>
        </w:rPr>
        <w:t>(1) No person shall convene or participate in a public gathering, procession, or demonstration in an urban area or al</w:t>
      </w:r>
      <w:r>
        <w:rPr>
          <w:i/>
          <w:iCs/>
          <w:lang w:val="zh-CN"/>
        </w:rPr>
        <w:t>ong a highway without prior written approval from the Cabinet Secretary.</w:t>
      </w:r>
    </w:p>
    <w:p w:rsidR="0026116A" w:rsidRDefault="00515452">
      <w:pPr>
        <w:pStyle w:val="NormalWeb"/>
        <w:spacing w:line="360" w:lineRule="auto"/>
        <w:ind w:left="720"/>
        <w:jc w:val="both"/>
        <w:rPr>
          <w:i/>
          <w:iCs/>
          <w:lang w:val="zh-CN"/>
        </w:rPr>
      </w:pPr>
      <w:r>
        <w:rPr>
          <w:i/>
          <w:iCs/>
          <w:lang w:val="zh-CN"/>
        </w:rPr>
        <w:t>(2) A written application for such approval shall be submitted to the Cabinet Secretary at least thirty (30) days before the proposed date of the public gathering.</w:t>
      </w:r>
    </w:p>
    <w:p w:rsidR="0026116A" w:rsidRDefault="00515452">
      <w:pPr>
        <w:pStyle w:val="NormalWeb"/>
        <w:spacing w:line="360" w:lineRule="auto"/>
        <w:ind w:left="720"/>
        <w:jc w:val="both"/>
        <w:rPr>
          <w:b/>
          <w:bCs/>
          <w:i/>
          <w:iCs/>
        </w:rPr>
      </w:pPr>
      <w:r>
        <w:rPr>
          <w:b/>
          <w:bCs/>
          <w:i/>
          <w:iCs/>
        </w:rPr>
        <w:t>Regulation 4: Arres</w:t>
      </w:r>
      <w:r>
        <w:rPr>
          <w:b/>
          <w:bCs/>
          <w:i/>
          <w:iCs/>
        </w:rPr>
        <w:t>t and Detention of Participants in Unauthorised Gatherings</w:t>
      </w:r>
    </w:p>
    <w:p w:rsidR="0026116A" w:rsidRDefault="00515452">
      <w:pPr>
        <w:pStyle w:val="NormalWeb"/>
        <w:spacing w:line="360" w:lineRule="auto"/>
        <w:ind w:left="720"/>
        <w:jc w:val="both"/>
        <w:rPr>
          <w:i/>
          <w:iCs/>
        </w:rPr>
      </w:pPr>
      <w:r>
        <w:rPr>
          <w:i/>
          <w:iCs/>
        </w:rPr>
        <w:t xml:space="preserve">(1) Any person found participating in a public gathering or demonstration that has not been duly approved under Regulation 3 may be arrested without warrant. </w:t>
      </w:r>
    </w:p>
    <w:p w:rsidR="0026116A" w:rsidRDefault="00515452">
      <w:pPr>
        <w:pStyle w:val="NormalWeb"/>
        <w:spacing w:line="360" w:lineRule="auto"/>
        <w:ind w:left="720"/>
        <w:jc w:val="both"/>
        <w:rPr>
          <w:i/>
          <w:iCs/>
        </w:rPr>
      </w:pPr>
      <w:r>
        <w:rPr>
          <w:i/>
          <w:iCs/>
        </w:rPr>
        <w:t>(2) A person arrested under sub-regula</w:t>
      </w:r>
      <w:r>
        <w:rPr>
          <w:i/>
          <w:iCs/>
        </w:rPr>
        <w:t>tion (1) shall not be eligible for bail for a minimum of thirty (30) days from the date of arrest.</w:t>
      </w:r>
    </w:p>
    <w:p w:rsidR="0026116A" w:rsidRDefault="00515452">
      <w:pPr>
        <w:pStyle w:val="NormalWeb"/>
        <w:spacing w:before="0" w:beforeAutospacing="0" w:after="160" w:afterAutospacing="0" w:line="360" w:lineRule="auto"/>
        <w:ind w:left="720"/>
        <w:jc w:val="both"/>
        <w:rPr>
          <w:i/>
          <w:iCs/>
        </w:rPr>
      </w:pPr>
      <w:r>
        <w:rPr>
          <w:i/>
          <w:iCs/>
        </w:rPr>
        <w:t>(3) This provision shall apply notwithstanding the provisions of any other written law.</w:t>
      </w:r>
    </w:p>
    <w:p w:rsidR="0026116A" w:rsidRDefault="00515452">
      <w:pPr>
        <w:pStyle w:val="NormalWeb"/>
        <w:spacing w:before="0" w:beforeAutospacing="0" w:after="160" w:afterAutospacing="0" w:line="360" w:lineRule="auto"/>
        <w:jc w:val="both"/>
      </w:pPr>
      <w:r>
        <w:t>By the end of July 2025, several protestors have been arrested and detained pursuant to these new Regulations, and their whereabouts remain unknown. In response, a local NGO has approached Sharp &amp; Smart Advocates LLP, the law firm where you are currently u</w:t>
      </w:r>
      <w:r>
        <w:t>ndertaking your internship. Your supervisor, Mr. Sharp Shupavu, has assigned the matter to you and instructed you to draft a legal opinion addressing the administrative law issues raised by the Regulations. With the aid of case law and relevant authorities</w:t>
      </w:r>
      <w:r>
        <w:t xml:space="preserve">, advise your client on </w:t>
      </w:r>
      <w:r>
        <w:rPr>
          <w:b/>
          <w:bCs/>
        </w:rPr>
        <w:t>the strongest grounds</w:t>
      </w:r>
      <w:r>
        <w:t xml:space="preserve"> upon which the new Regulations can be challenged under administrative law. </w:t>
      </w:r>
      <w:r>
        <w:rPr>
          <w:b/>
        </w:rPr>
        <w:t>(20 marks)</w:t>
      </w:r>
    </w:p>
    <w:p w:rsidR="0026116A" w:rsidRDefault="0026116A">
      <w:pPr>
        <w:pStyle w:val="NormalWeb"/>
        <w:spacing w:before="0" w:beforeAutospacing="0" w:after="160" w:afterAutospacing="0" w:line="360" w:lineRule="auto"/>
        <w:jc w:val="both"/>
      </w:pPr>
    </w:p>
    <w:p w:rsidR="0026116A" w:rsidRDefault="00515452">
      <w:pPr>
        <w:pStyle w:val="NormalWeb"/>
        <w:spacing w:before="0" w:beforeAutospacing="0" w:after="160" w:afterAutospacing="0" w:line="360" w:lineRule="auto"/>
        <w:jc w:val="both"/>
        <w:rPr>
          <w:b/>
        </w:rPr>
      </w:pPr>
      <w:r>
        <w:rPr>
          <w:b/>
        </w:rPr>
        <w:t xml:space="preserve">QUESTION THREE </w:t>
      </w:r>
    </w:p>
    <w:p w:rsidR="0026116A" w:rsidRDefault="00515452">
      <w:pPr>
        <w:pStyle w:val="NormalWeb"/>
        <w:spacing w:line="360" w:lineRule="auto"/>
        <w:jc w:val="both"/>
        <w:rPr>
          <w:bCs/>
        </w:rPr>
      </w:pPr>
      <w:r>
        <w:rPr>
          <w:bCs/>
        </w:rPr>
        <w:t xml:space="preserve">Justice J B Lewa is presiding over a constitutional petition filed by </w:t>
      </w:r>
      <w:r>
        <w:t>BrewCo Ltd,</w:t>
      </w:r>
      <w:r>
        <w:rPr>
          <w:bCs/>
        </w:rPr>
        <w:t xml:space="preserve"> a multinational brewing c</w:t>
      </w:r>
      <w:r>
        <w:rPr>
          <w:bCs/>
        </w:rPr>
        <w:t>ompany, challenging the validity of a recently enacted statute, the</w:t>
      </w:r>
      <w:r>
        <w:rPr>
          <w:bCs/>
          <w:i/>
          <w:iCs/>
        </w:rPr>
        <w:t xml:space="preserve"> </w:t>
      </w:r>
      <w:r>
        <w:rPr>
          <w:b/>
          <w:i/>
          <w:iCs/>
        </w:rPr>
        <w:t xml:space="preserve">Responsible Drinking </w:t>
      </w:r>
      <w:r>
        <w:rPr>
          <w:b/>
          <w:i/>
          <w:iCs/>
        </w:rPr>
        <w:lastRenderedPageBreak/>
        <w:t>Act 2025</w:t>
      </w:r>
      <w:r>
        <w:rPr>
          <w:bCs/>
        </w:rPr>
        <w:t>. Among other provisions, this law raises the minimum legal drinking age drinking age to 30 years and stipulates that alcohol shall not be sold except in licen</w:t>
      </w:r>
      <w:r>
        <w:rPr>
          <w:bCs/>
        </w:rPr>
        <w:t>sed members-only clubs. According to a recent industry report, the Act has, since its enactment two weeks ago, led to an approximately 92% reduction in national alcohol sales. This drastic drop is associated with the fact that the majority of previous cons</w:t>
      </w:r>
      <w:r>
        <w:rPr>
          <w:bCs/>
        </w:rPr>
        <w:t xml:space="preserve">umers were aged between 18 and 20 years old and can no longer legally purchase alcohol. In its petition, </w:t>
      </w:r>
      <w:r>
        <w:t>BrewCo Ltd raises both administrative and constitutional arguments against the new law.</w:t>
      </w:r>
    </w:p>
    <w:p w:rsidR="0026116A" w:rsidRDefault="00515452">
      <w:pPr>
        <w:pStyle w:val="NormalWeb"/>
        <w:spacing w:line="360" w:lineRule="auto"/>
        <w:jc w:val="both"/>
      </w:pPr>
      <w:r>
        <w:rPr>
          <w:bCs/>
        </w:rPr>
        <w:t xml:space="preserve">Until his appointment to the bench three years ago, Justice JB </w:t>
      </w:r>
      <w:r>
        <w:rPr>
          <w:bCs/>
        </w:rPr>
        <w:t xml:space="preserve">Lewa was a member of BrewCo Ltd’s Board of Directors. Moreover, even after becoming a judge, JB Lewa’s family business continues to own tens of liquor stores across Nairobi, operating under the name </w:t>
      </w:r>
      <w:r>
        <w:rPr>
          <w:i/>
          <w:iCs/>
        </w:rPr>
        <w:t>Jaba Nene Liquor.</w:t>
      </w:r>
    </w:p>
    <w:p w:rsidR="0026116A" w:rsidRDefault="00515452">
      <w:pPr>
        <w:pStyle w:val="NormalWeb"/>
        <w:spacing w:line="360" w:lineRule="auto"/>
        <w:jc w:val="both"/>
        <w:rPr>
          <w:bCs/>
        </w:rPr>
      </w:pPr>
      <w:r>
        <w:rPr>
          <w:bCs/>
        </w:rPr>
        <w:t>One of the Respondents, the Attorney Ge</w:t>
      </w:r>
      <w:r>
        <w:rPr>
          <w:bCs/>
        </w:rPr>
        <w:t xml:space="preserve">neral (AG), applies to have Justice JB Lewa </w:t>
      </w:r>
      <w:r>
        <w:t>recuse himself on</w:t>
      </w:r>
      <w:r>
        <w:rPr>
          <w:bCs/>
        </w:rPr>
        <w:t xml:space="preserve"> grounds of potential bias. The AG notes that the matter can easily be referred to one of the three other judges in the Constitutional and Human Rights Division of the High Court. Justice JB Lewa</w:t>
      </w:r>
      <w:r>
        <w:rPr>
          <w:bCs/>
        </w:rPr>
        <w:t xml:space="preserve"> has indicated that he will deliver a ruling on the recusal application tomorrow morning. </w:t>
      </w:r>
    </w:p>
    <w:p w:rsidR="0026116A" w:rsidRDefault="00515452">
      <w:pPr>
        <w:pStyle w:val="NormalWeb"/>
        <w:spacing w:line="360" w:lineRule="auto"/>
        <w:jc w:val="both"/>
        <w:rPr>
          <w:bCs/>
        </w:rPr>
      </w:pPr>
      <w:r>
        <w:rPr>
          <w:bCs/>
        </w:rPr>
        <w:t>You work as the judge’s legal researcher, and he has sought your opinion on how to proceed.</w:t>
      </w:r>
    </w:p>
    <w:p w:rsidR="0026116A" w:rsidRDefault="00515452">
      <w:pPr>
        <w:pStyle w:val="NormalWeb"/>
        <w:spacing w:line="360" w:lineRule="auto"/>
        <w:jc w:val="both"/>
        <w:rPr>
          <w:bCs/>
        </w:rPr>
      </w:pPr>
      <w:r>
        <w:rPr>
          <w:i/>
          <w:iCs/>
        </w:rPr>
        <w:t>Required:</w:t>
      </w:r>
    </w:p>
    <w:p w:rsidR="0026116A" w:rsidRDefault="0026116A">
      <w:pPr>
        <w:pStyle w:val="NormalWeb"/>
        <w:spacing w:line="360" w:lineRule="auto"/>
        <w:ind w:left="360"/>
        <w:jc w:val="both"/>
        <w:rPr>
          <w:bCs/>
        </w:rPr>
      </w:pPr>
    </w:p>
    <w:p w:rsidR="0026116A" w:rsidRDefault="00515452">
      <w:pPr>
        <w:pStyle w:val="NormalWeb"/>
        <w:numPr>
          <w:ilvl w:val="0"/>
          <w:numId w:val="3"/>
        </w:numPr>
        <w:spacing w:line="360" w:lineRule="auto"/>
        <w:jc w:val="both"/>
        <w:rPr>
          <w:bCs/>
        </w:rPr>
      </w:pPr>
      <w:r>
        <w:rPr>
          <w:bCs/>
        </w:rPr>
        <w:t xml:space="preserve">With reference to relevant principles on bias, advise Justice JB Lewa on whether he should </w:t>
      </w:r>
      <w:r>
        <w:t>allow the application by the AG and recuse himself</w:t>
      </w:r>
      <w:r>
        <w:rPr>
          <w:bCs/>
        </w:rPr>
        <w:t xml:space="preserve"> in these circumstances. </w:t>
      </w:r>
    </w:p>
    <w:p w:rsidR="0026116A" w:rsidRDefault="00515452">
      <w:pPr>
        <w:pStyle w:val="NormalWeb"/>
        <w:spacing w:line="360" w:lineRule="auto"/>
        <w:ind w:left="360" w:firstLine="7884"/>
        <w:jc w:val="both"/>
        <w:rPr>
          <w:bCs/>
        </w:rPr>
      </w:pPr>
      <w:r>
        <w:rPr>
          <w:b/>
        </w:rPr>
        <w:t>(10 marks)</w:t>
      </w:r>
    </w:p>
    <w:p w:rsidR="0026116A" w:rsidRDefault="00515452">
      <w:pPr>
        <w:pStyle w:val="NormalWeb"/>
        <w:numPr>
          <w:ilvl w:val="0"/>
          <w:numId w:val="3"/>
        </w:numPr>
        <w:spacing w:line="360" w:lineRule="auto"/>
        <w:jc w:val="both"/>
        <w:rPr>
          <w:bCs/>
        </w:rPr>
      </w:pPr>
      <w:r>
        <w:rPr>
          <w:bCs/>
        </w:rPr>
        <w:t xml:space="preserve">What is the likely </w:t>
      </w:r>
      <w:r>
        <w:t>consequence</w:t>
      </w:r>
      <w:r>
        <w:rPr>
          <w:bCs/>
        </w:rPr>
        <w:t xml:space="preserve"> if Justice JB Lewa decides </w:t>
      </w:r>
      <w:r>
        <w:rPr>
          <w:b/>
          <w:bCs/>
        </w:rPr>
        <w:t>not</w:t>
      </w:r>
      <w:r>
        <w:rPr>
          <w:bCs/>
        </w:rPr>
        <w:t xml:space="preserve"> to recuse himsel</w:t>
      </w:r>
      <w:r>
        <w:rPr>
          <w:bCs/>
        </w:rPr>
        <w:t>f and proceeds to decide the dispute, given the facts above?</w:t>
      </w:r>
      <w:r>
        <w:rPr>
          <w:bCs/>
          <w:lang w:val="en-US"/>
        </w:rPr>
        <w:tab/>
      </w:r>
      <w:r>
        <w:rPr>
          <w:bCs/>
          <w:lang w:val="en-US"/>
        </w:rPr>
        <w:tab/>
      </w:r>
      <w:r>
        <w:rPr>
          <w:bCs/>
          <w:lang w:val="en-US"/>
        </w:rPr>
        <w:tab/>
      </w:r>
      <w:r>
        <w:rPr>
          <w:bCs/>
        </w:rPr>
        <w:t xml:space="preserve"> </w:t>
      </w:r>
      <w:r>
        <w:rPr>
          <w:b/>
        </w:rPr>
        <w:t>(5 marks)</w:t>
      </w:r>
    </w:p>
    <w:p w:rsidR="0026116A" w:rsidRDefault="00515452">
      <w:pPr>
        <w:pStyle w:val="NormalWeb"/>
        <w:numPr>
          <w:ilvl w:val="0"/>
          <w:numId w:val="3"/>
        </w:numPr>
        <w:spacing w:line="360" w:lineRule="auto"/>
        <w:jc w:val="both"/>
        <w:rPr>
          <w:bCs/>
        </w:rPr>
      </w:pPr>
      <w:r>
        <w:rPr>
          <w:bCs/>
        </w:rPr>
        <w:t xml:space="preserve">Assume the only ground raised by the AG was that Justice JB Lewa and the petitioner’s lawyer are both passionate supporters of the Manchester United football team. Would your advice </w:t>
      </w:r>
      <w:r>
        <w:rPr>
          <w:bCs/>
        </w:rPr>
        <w:t xml:space="preserve">on recusal be any different in that scenario? Briefly explain why or why not. </w:t>
      </w:r>
    </w:p>
    <w:p w:rsidR="0026116A" w:rsidRDefault="00515452">
      <w:pPr>
        <w:pStyle w:val="NormalWeb"/>
        <w:spacing w:line="360" w:lineRule="auto"/>
        <w:ind w:left="360" w:firstLine="7884"/>
        <w:jc w:val="both"/>
        <w:rPr>
          <w:bCs/>
        </w:rPr>
      </w:pPr>
      <w:r>
        <w:rPr>
          <w:b/>
        </w:rPr>
        <w:lastRenderedPageBreak/>
        <w:t>(5 marks)</w:t>
      </w:r>
    </w:p>
    <w:p w:rsidR="0026116A" w:rsidRDefault="00515452">
      <w:pPr>
        <w:pStyle w:val="NormalWeb"/>
        <w:spacing w:before="0" w:beforeAutospacing="0" w:after="160" w:afterAutospacing="0" w:line="360" w:lineRule="auto"/>
        <w:jc w:val="both"/>
        <w:rPr>
          <w:rStyle w:val="Strong"/>
          <w:bCs w:val="0"/>
          <w:u w:val="single"/>
        </w:rPr>
      </w:pPr>
      <w:r>
        <w:rPr>
          <w:b/>
          <w:u w:val="single"/>
        </w:rPr>
        <w:t>QUESTION FOUR</w:t>
      </w:r>
    </w:p>
    <w:p w:rsidR="0026116A" w:rsidRDefault="00515452">
      <w:pPr>
        <w:pStyle w:val="NormalWeb"/>
        <w:spacing w:before="0" w:beforeAutospacing="0" w:after="160" w:afterAutospacing="0" w:line="360" w:lineRule="auto"/>
        <w:jc w:val="both"/>
      </w:pPr>
      <w:r>
        <w:rPr>
          <w:rStyle w:val="Strong"/>
          <w:rFonts w:eastAsiaTheme="majorEastAsia"/>
          <w:b w:val="0"/>
          <w:bCs w:val="0"/>
          <w:i/>
          <w:iCs/>
        </w:rPr>
        <w:t>“The Constitution 2010 has brought in a new era of administrative law beyond the traditional anchorage in statutory or common law. The review power of th</w:t>
      </w:r>
      <w:r>
        <w:rPr>
          <w:rStyle w:val="Strong"/>
          <w:rFonts w:eastAsiaTheme="majorEastAsia"/>
          <w:b w:val="0"/>
          <w:bCs w:val="0"/>
          <w:i/>
          <w:iCs/>
        </w:rPr>
        <w:t>e courts is no longer grounded in the common law or statute but instead the Constitution itself confers fundamental rights to fair administrative justice”</w:t>
      </w:r>
      <w:r>
        <w:rPr>
          <w:rStyle w:val="Strong"/>
          <w:rFonts w:eastAsiaTheme="majorEastAsia"/>
          <w:i/>
        </w:rPr>
        <w:t xml:space="preserve"> </w:t>
      </w:r>
      <w:r>
        <w:t xml:space="preserve">(Walter Khobe, ‘The Architectonics of Administrative Law’ (2016) 2 Kabarak Journal of Law and Ethics </w:t>
      </w:r>
      <w:r>
        <w:t xml:space="preserve">1, 4). </w:t>
      </w:r>
    </w:p>
    <w:p w:rsidR="0026116A" w:rsidRDefault="00515452">
      <w:pPr>
        <w:pStyle w:val="NormalWeb"/>
        <w:numPr>
          <w:ilvl w:val="0"/>
          <w:numId w:val="4"/>
        </w:numPr>
        <w:spacing w:before="0" w:beforeAutospacing="0" w:after="160" w:afterAutospacing="0" w:line="360" w:lineRule="auto"/>
        <w:jc w:val="both"/>
      </w:pPr>
      <w:r>
        <w:t xml:space="preserve">Critically evaluate the validity of the above statement while discussing the constitutional underpinnings of administrative law in Kenya. </w:t>
      </w:r>
      <w:r>
        <w:rPr>
          <w:lang w:val="en-US"/>
        </w:rPr>
        <w:tab/>
      </w:r>
      <w:r>
        <w:rPr>
          <w:lang w:val="en-US"/>
        </w:rPr>
        <w:tab/>
      </w:r>
      <w:r>
        <w:rPr>
          <w:lang w:val="en-US"/>
        </w:rPr>
        <w:tab/>
      </w:r>
      <w:r>
        <w:rPr>
          <w:lang w:val="en-US"/>
        </w:rPr>
        <w:tab/>
      </w:r>
      <w:r>
        <w:rPr>
          <w:b/>
        </w:rPr>
        <w:t>(15 marks)</w:t>
      </w:r>
    </w:p>
    <w:p w:rsidR="0026116A" w:rsidRDefault="00515452">
      <w:pPr>
        <w:pStyle w:val="NormalWeb"/>
        <w:numPr>
          <w:ilvl w:val="0"/>
          <w:numId w:val="4"/>
        </w:numPr>
        <w:spacing w:before="0" w:beforeAutospacing="0" w:after="160" w:afterAutospacing="0" w:line="360" w:lineRule="auto"/>
        <w:jc w:val="both"/>
      </w:pPr>
      <w:r>
        <w:t>Discuss the significance, if any, of the Fair Administrative Action Act, 2015, on Kenyan admini</w:t>
      </w:r>
      <w:r>
        <w:t>strative law and practice.</w:t>
      </w:r>
      <w:r>
        <w:rPr>
          <w:lang w:val="en-US"/>
        </w:rPr>
        <w:tab/>
      </w:r>
      <w:r>
        <w:rPr>
          <w:lang w:val="en-US"/>
        </w:rPr>
        <w:tab/>
      </w:r>
      <w:r>
        <w:rPr>
          <w:lang w:val="en-US"/>
        </w:rPr>
        <w:tab/>
      </w:r>
      <w:r>
        <w:rPr>
          <w:lang w:val="en-US"/>
        </w:rPr>
        <w:tab/>
      </w:r>
      <w:r>
        <w:rPr>
          <w:lang w:val="en-US"/>
        </w:rPr>
        <w:tab/>
      </w:r>
      <w:r>
        <w:rPr>
          <w:lang w:val="en-US"/>
        </w:rPr>
        <w:tab/>
      </w:r>
      <w:r>
        <w:t xml:space="preserve"> </w:t>
      </w:r>
      <w:r>
        <w:rPr>
          <w:b/>
        </w:rPr>
        <w:t>(5 marks)</w:t>
      </w:r>
    </w:p>
    <w:p w:rsidR="0026116A" w:rsidRDefault="00515452">
      <w:pPr>
        <w:pStyle w:val="NormalWeb"/>
        <w:spacing w:before="0" w:beforeAutospacing="0" w:after="160" w:afterAutospacing="0" w:line="360" w:lineRule="auto"/>
        <w:jc w:val="both"/>
        <w:rPr>
          <w:b/>
          <w:u w:val="single"/>
        </w:rPr>
      </w:pPr>
      <w:r>
        <w:rPr>
          <w:b/>
          <w:u w:val="single"/>
        </w:rPr>
        <w:t>QUESTION FIVE</w:t>
      </w:r>
    </w:p>
    <w:p w:rsidR="0026116A" w:rsidRDefault="00515452">
      <w:pPr>
        <w:pStyle w:val="NormalWeb"/>
        <w:spacing w:before="0" w:beforeAutospacing="0" w:after="160" w:afterAutospacing="0" w:line="360" w:lineRule="auto"/>
        <w:jc w:val="both"/>
        <w:rPr>
          <w:i/>
        </w:rPr>
      </w:pPr>
      <w:r>
        <w:rPr>
          <w:i/>
        </w:rPr>
        <w:t>“Delegated legislation (also called subsidiary legislation) is a common feature in common law jurisdictions... It is understandable why delegated legislation has become a popular means of governance. The proliferation of delegated legislation can be partia</w:t>
      </w:r>
      <w:r>
        <w:rPr>
          <w:i/>
        </w:rPr>
        <w:t xml:space="preserve">lly explained by the general expansion of the executive state in jurisdictions around the world. But delegated legislation provides certain specific advantages to government authorities.” </w:t>
      </w:r>
      <w:r>
        <w:t xml:space="preserve">Kenny Chng, 'Re-examining judicial review of delegated legislation' </w:t>
      </w:r>
      <w:r>
        <w:t xml:space="preserve">(2014) 44 Legal Studies 81, 81-82. </w:t>
      </w:r>
    </w:p>
    <w:p w:rsidR="0026116A" w:rsidRDefault="00515452">
      <w:pPr>
        <w:pStyle w:val="NormalWeb"/>
        <w:numPr>
          <w:ilvl w:val="0"/>
          <w:numId w:val="5"/>
        </w:numPr>
        <w:spacing w:before="0" w:beforeAutospacing="0" w:after="160" w:afterAutospacing="0" w:line="360" w:lineRule="auto"/>
        <w:jc w:val="both"/>
      </w:pPr>
      <w:r>
        <w:t xml:space="preserve">Explain the rationale for delegated legislation in administrative governance. In other words, what justifies the continued use of delegated legislation given that it is not directly passed by the Legislature? </w:t>
      </w:r>
      <w:r>
        <w:rPr>
          <w:lang w:val="en-US"/>
        </w:rPr>
        <w:tab/>
      </w:r>
      <w:r>
        <w:rPr>
          <w:lang w:val="en-US"/>
        </w:rPr>
        <w:tab/>
      </w:r>
      <w:r>
        <w:rPr>
          <w:lang w:val="en-US"/>
        </w:rPr>
        <w:tab/>
      </w:r>
      <w:r>
        <w:rPr>
          <w:lang w:val="en-US"/>
        </w:rPr>
        <w:tab/>
      </w:r>
      <w:r>
        <w:rPr>
          <w:lang w:val="en-US"/>
        </w:rPr>
        <w:tab/>
      </w:r>
      <w:r>
        <w:rPr>
          <w:lang w:val="en-US"/>
        </w:rPr>
        <w:tab/>
      </w:r>
      <w:r>
        <w:rPr>
          <w:lang w:val="en-US"/>
        </w:rPr>
        <w:tab/>
      </w:r>
      <w:r>
        <w:rPr>
          <w:b/>
        </w:rPr>
        <w:t xml:space="preserve">(10 </w:t>
      </w:r>
      <w:r>
        <w:rPr>
          <w:b/>
        </w:rPr>
        <w:t>marks)</w:t>
      </w:r>
    </w:p>
    <w:p w:rsidR="0026116A" w:rsidRDefault="00515452">
      <w:pPr>
        <w:pStyle w:val="NormalWeb"/>
        <w:numPr>
          <w:ilvl w:val="0"/>
          <w:numId w:val="5"/>
        </w:numPr>
        <w:spacing w:before="0" w:beforeAutospacing="0" w:after="160" w:afterAutospacing="0" w:line="360" w:lineRule="auto"/>
        <w:jc w:val="both"/>
      </w:pPr>
      <w:r>
        <w:t>With reference to relevant case law and authorities, discuss the major grounds under which delegated legislation can be reviewed by Kenyan courts.</w:t>
      </w:r>
      <w:r>
        <w:rPr>
          <w:lang w:val="en-US"/>
        </w:rPr>
        <w:tab/>
      </w:r>
      <w:r>
        <w:rPr>
          <w:lang w:val="en-US"/>
        </w:rPr>
        <w:tab/>
      </w:r>
      <w:r>
        <w:t xml:space="preserve"> </w:t>
      </w:r>
      <w:r>
        <w:rPr>
          <w:b/>
        </w:rPr>
        <w:t>(10 marks)</w:t>
      </w:r>
    </w:p>
    <w:p w:rsidR="0026116A" w:rsidRDefault="00515452">
      <w:pPr>
        <w:pStyle w:val="NormalWeb"/>
        <w:spacing w:before="0" w:beforeAutospacing="0" w:after="160" w:afterAutospacing="0" w:line="360" w:lineRule="auto"/>
        <w:jc w:val="both"/>
        <w:rPr>
          <w:b/>
          <w:bCs/>
          <w:lang w:val="zh-CN"/>
        </w:rPr>
      </w:pPr>
      <w:r>
        <w:rPr>
          <w:b/>
          <w:bCs/>
          <w:lang w:val="zh-CN"/>
        </w:rPr>
        <w:t>QUESTION SIX</w:t>
      </w:r>
    </w:p>
    <w:p w:rsidR="0026116A" w:rsidRDefault="00515452">
      <w:pPr>
        <w:pStyle w:val="NormalWeb"/>
        <w:spacing w:line="360" w:lineRule="auto"/>
        <w:jc w:val="both"/>
        <w:rPr>
          <w:i/>
          <w:iCs/>
          <w:lang w:val="zh-CN"/>
        </w:rPr>
      </w:pPr>
      <w:r>
        <w:rPr>
          <w:i/>
          <w:iCs/>
        </w:rPr>
        <w:t xml:space="preserve">“The twenty-first century’s automated decision-making systems bring radical </w:t>
      </w:r>
      <w:r>
        <w:rPr>
          <w:i/>
          <w:iCs/>
        </w:rPr>
        <w:t xml:space="preserve">change to the administrative state that last century’s procedural structures cannot manage. In the past, computer systems helped humans apply rules to individual cases. Now, automated systems have become the </w:t>
      </w:r>
      <w:r>
        <w:rPr>
          <w:i/>
          <w:iCs/>
        </w:rPr>
        <w:lastRenderedPageBreak/>
        <w:t>primary decision makers. These systems often tak</w:t>
      </w:r>
      <w:r>
        <w:rPr>
          <w:i/>
          <w:iCs/>
        </w:rPr>
        <w:t>e human decision making out of the process</w:t>
      </w:r>
      <w:r>
        <w:rPr>
          <w:i/>
          <w:iCs/>
          <w:lang w:val="zh-CN"/>
        </w:rPr>
        <w:t xml:space="preserve">...” </w:t>
      </w:r>
      <w:r>
        <w:rPr>
          <w:lang w:val="zh-CN"/>
        </w:rPr>
        <w:t>(Danielle K. Citron, ‘Technological Due Process’ (2008) 85 Washington University Law Review 1249, 1252).</w:t>
      </w:r>
    </w:p>
    <w:p w:rsidR="0026116A" w:rsidRDefault="00515452">
      <w:pPr>
        <w:pStyle w:val="NormalWeb"/>
        <w:spacing w:before="0" w:beforeAutospacing="0" w:after="160" w:afterAutospacing="0" w:line="360" w:lineRule="auto"/>
        <w:jc w:val="both"/>
        <w:rPr>
          <w:lang w:val="zh-CN"/>
        </w:rPr>
      </w:pPr>
      <w:r>
        <w:t xml:space="preserve">Drawing on the materials and principles covered in this course, critically evaluate the extent to which </w:t>
      </w:r>
      <w:r>
        <w:t xml:space="preserve">core principles of administrative law apply to automated administrative decision-making. In your answer, discuss the challenges that automation poses to the traditional principles of fair administrative action. </w:t>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b/>
          <w:bCs/>
        </w:rPr>
        <w:t>(20 marks)</w:t>
      </w:r>
    </w:p>
    <w:p w:rsidR="0026116A" w:rsidRDefault="0026116A">
      <w:pPr>
        <w:pStyle w:val="NormalWeb"/>
        <w:spacing w:before="0" w:beforeAutospacing="0" w:after="160" w:afterAutospacing="0" w:line="360" w:lineRule="auto"/>
        <w:jc w:val="both"/>
      </w:pPr>
    </w:p>
    <w:sectPr w:rsidR="0026116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5452" w:rsidRDefault="00515452">
      <w:pPr>
        <w:spacing w:line="240" w:lineRule="auto"/>
      </w:pPr>
      <w:r>
        <w:separator/>
      </w:r>
    </w:p>
  </w:endnote>
  <w:endnote w:type="continuationSeparator" w:id="0">
    <w:p w:rsidR="00515452" w:rsidRDefault="005154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font>
  <w:font w:name="等线 Light">
    <w:altName w:val="Segoe Print"/>
    <w:charset w:val="00"/>
    <w:family w:val="auto"/>
    <w:pitch w:val="default"/>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392996"/>
      <w:docPartObj>
        <w:docPartGallery w:val="AutoText"/>
      </w:docPartObj>
    </w:sdtPr>
    <w:sdtEndPr/>
    <w:sdtContent>
      <w:p w:rsidR="0026116A" w:rsidRDefault="00515452">
        <w:pPr>
          <w:pStyle w:val="Footer"/>
          <w:jc w:val="center"/>
        </w:pPr>
        <w:r>
          <w:fldChar w:fldCharType="begin"/>
        </w:r>
        <w:r>
          <w:instrText xml:space="preserve"> PAGE   \* MERGEFORMAT </w:instrText>
        </w:r>
        <w:r>
          <w:fldChar w:fldCharType="separate"/>
        </w:r>
        <w:r w:rsidR="00D51398">
          <w:rPr>
            <w:noProof/>
          </w:rPr>
          <w:t>1</w:t>
        </w:r>
        <w:r>
          <w:fldChar w:fldCharType="end"/>
        </w:r>
      </w:p>
    </w:sdtContent>
  </w:sdt>
  <w:p w:rsidR="0026116A" w:rsidRDefault="002611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5452" w:rsidRDefault="00515452">
      <w:pPr>
        <w:spacing w:after="0"/>
      </w:pPr>
      <w:r>
        <w:separator/>
      </w:r>
    </w:p>
  </w:footnote>
  <w:footnote w:type="continuationSeparator" w:id="0">
    <w:p w:rsidR="00515452" w:rsidRDefault="0051545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CB69A1"/>
    <w:multiLevelType w:val="multilevel"/>
    <w:tmpl w:val="0CCB69A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6B9463D"/>
    <w:multiLevelType w:val="multilevel"/>
    <w:tmpl w:val="26B9463D"/>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32624A7"/>
    <w:multiLevelType w:val="multilevel"/>
    <w:tmpl w:val="532624A7"/>
    <w:lvl w:ilvl="0">
      <w:start w:val="1"/>
      <w:numFmt w:val="decimal"/>
      <w:lvlText w:val="%1."/>
      <w:lvlJc w:val="left"/>
      <w:pPr>
        <w:ind w:left="360" w:hanging="360"/>
      </w:pPr>
      <w:rPr>
        <w:b w:val="0"/>
        <w:b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6EF17344"/>
    <w:multiLevelType w:val="multilevel"/>
    <w:tmpl w:val="6EF173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71331042"/>
    <w:multiLevelType w:val="multilevel"/>
    <w:tmpl w:val="71331042"/>
    <w:lvl w:ilvl="0">
      <w:start w:val="1"/>
      <w:numFmt w:val="lowerLetter"/>
      <w:lvlText w:val="%1)"/>
      <w:lvlJc w:val="left"/>
      <w:pPr>
        <w:ind w:left="720" w:hanging="360"/>
      </w:pPr>
      <w:rPr>
        <w:i w:val="0"/>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07D"/>
    <w:rsid w:val="00116AA8"/>
    <w:rsid w:val="00180355"/>
    <w:rsid w:val="0025245D"/>
    <w:rsid w:val="002577C1"/>
    <w:rsid w:val="0026116A"/>
    <w:rsid w:val="00283EA3"/>
    <w:rsid w:val="00295AEC"/>
    <w:rsid w:val="002C1BAA"/>
    <w:rsid w:val="00311F15"/>
    <w:rsid w:val="003401A5"/>
    <w:rsid w:val="003C69BB"/>
    <w:rsid w:val="00474ECF"/>
    <w:rsid w:val="004E1ABD"/>
    <w:rsid w:val="004E64A9"/>
    <w:rsid w:val="004F3CB6"/>
    <w:rsid w:val="004F4AED"/>
    <w:rsid w:val="00515452"/>
    <w:rsid w:val="0074407D"/>
    <w:rsid w:val="00763F0B"/>
    <w:rsid w:val="00790E7B"/>
    <w:rsid w:val="0084579D"/>
    <w:rsid w:val="00850378"/>
    <w:rsid w:val="0086174A"/>
    <w:rsid w:val="009B213A"/>
    <w:rsid w:val="00A5266E"/>
    <w:rsid w:val="00B80189"/>
    <w:rsid w:val="00BD36A4"/>
    <w:rsid w:val="00BE0DBA"/>
    <w:rsid w:val="00CF2785"/>
    <w:rsid w:val="00CF7B08"/>
    <w:rsid w:val="00D51398"/>
    <w:rsid w:val="00D83FFB"/>
    <w:rsid w:val="00DC0580"/>
    <w:rsid w:val="00DC0861"/>
    <w:rsid w:val="00DF12E7"/>
    <w:rsid w:val="00DF67D2"/>
    <w:rsid w:val="00F12622"/>
    <w:rsid w:val="00F17430"/>
    <w:rsid w:val="494606F5"/>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7EAE1A-A92E-4950-8E14-3715A9C70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cs="Times New Roman"/>
      <w:sz w:val="24"/>
      <w:szCs w:val="24"/>
      <w:lang w:val="en-GB"/>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asciiTheme="minorHAnsi" w:eastAsiaTheme="majorEastAsia" w:hAnsiTheme="minorHAnsi"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asciiTheme="minorHAnsi" w:eastAsiaTheme="majorEastAsia" w:hAnsiTheme="minorHAnsi"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qFormat/>
    <w:pPr>
      <w:spacing w:line="360" w:lineRule="auto"/>
      <w:jc w:val="both"/>
    </w:pPr>
    <w:rPr>
      <w:lang w:val="zh-CN"/>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qFormat/>
    <w:pPr>
      <w:spacing w:before="100" w:beforeAutospacing="1" w:after="100" w:afterAutospacing="1" w:line="240" w:lineRule="auto"/>
    </w:pPr>
    <w:rPr>
      <w:rFonts w:eastAsia="Times New Roman"/>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rPr>
      <w:rFonts w:asciiTheme="minorHAnsi" w:eastAsiaTheme="majorEastAsia" w:hAnsiTheme="minorHAnsi"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qFormat/>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qFormat/>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qFormat/>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qFormat/>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qFormat/>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Pr>
      <w:rFonts w:asciiTheme="minorHAnsi" w:eastAsiaTheme="majorEastAsia" w:hAnsiTheme="minorHAnsi" w:cstheme="majorBidi"/>
      <w:i/>
      <w:iCs/>
      <w:color w:val="262626" w:themeColor="text1" w:themeTint="D9"/>
    </w:rPr>
  </w:style>
  <w:style w:type="character" w:customStyle="1" w:styleId="Heading9Char">
    <w:name w:val="Heading 9 Char"/>
    <w:basedOn w:val="DefaultParagraphFont"/>
    <w:link w:val="Heading9"/>
    <w:uiPriority w:val="9"/>
    <w:semiHidden/>
    <w:qFormat/>
    <w:rPr>
      <w:rFonts w:asciiTheme="minorHAnsi" w:eastAsiaTheme="majorEastAsia" w:hAnsiTheme="minorHAnsi"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FooterChar">
    <w:name w:val="Footer Char"/>
    <w:basedOn w:val="DefaultParagraphFont"/>
    <w:link w:val="Footer"/>
    <w:uiPriority w:val="99"/>
    <w:qFormat/>
    <w:rPr>
      <w:rFonts w:cs="Times New Roman"/>
      <w:szCs w:val="24"/>
      <w:lang w:val="en-GB"/>
    </w:rPr>
  </w:style>
  <w:style w:type="character" w:customStyle="1" w:styleId="BodyTextChar">
    <w:name w:val="Body Text Char"/>
    <w:basedOn w:val="DefaultParagraphFont"/>
    <w:link w:val="BodyText"/>
    <w:uiPriority w:val="99"/>
    <w:qFormat/>
    <w:rPr>
      <w:rFonts w:cs="Times New Roman"/>
      <w:szCs w:val="24"/>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7</Pages>
  <Words>1886</Words>
  <Characters>10754</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Samuel Kyalo</dc:creator>
  <cp:lastModifiedBy>user</cp:lastModifiedBy>
  <cp:revision>5</cp:revision>
  <dcterms:created xsi:type="dcterms:W3CDTF">2025-08-04T06:53:00Z</dcterms:created>
  <dcterms:modified xsi:type="dcterms:W3CDTF">2025-11-06T14:45:00Z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839332B7BC3F421499B19DF08862D76D_12</vt:lpwstr>
  </property>
</Properties>
</file>