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4699" w:rsidRDefault="009D2CEF">
      <w:pPr>
        <w:spacing w:after="0" w:line="240" w:lineRule="auto"/>
        <w:jc w:val="center"/>
        <w:rPr>
          <w:rFonts w:ascii="Times New Roman" w:eastAsia="Calibri" w:hAnsi="Times New Roman" w:cs="Times New Roman"/>
          <w:b/>
          <w:bCs/>
          <w:sz w:val="24"/>
          <w:szCs w:val="24"/>
        </w:rPr>
      </w:pPr>
      <w:bookmarkStart w:id="0" w:name="_Hlk107216339"/>
      <w:r>
        <w:rPr>
          <w:rFonts w:ascii="Times New Roman" w:eastAsia="Times New Roman" w:hAnsi="Times New Roman" w:cs="Times New Roman"/>
          <w:noProof/>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rsidR="00E04699" w:rsidRDefault="00E04699">
      <w:pPr>
        <w:spacing w:after="0" w:line="240" w:lineRule="auto"/>
        <w:jc w:val="center"/>
        <w:rPr>
          <w:rFonts w:ascii="Times New Roman" w:eastAsia="Calibri" w:hAnsi="Times New Roman" w:cs="Times New Roman"/>
          <w:b/>
          <w:bCs/>
          <w:sz w:val="24"/>
          <w:szCs w:val="24"/>
        </w:rPr>
      </w:pPr>
    </w:p>
    <w:p w:rsidR="00E04699" w:rsidRDefault="009D2CEF">
      <w:pPr>
        <w:keepNext/>
        <w:spacing w:after="0" w:line="240" w:lineRule="auto"/>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RIARA SCHOOL OF BUSINESS</w:t>
      </w:r>
    </w:p>
    <w:p w:rsidR="00E04699" w:rsidRDefault="009D2CEF">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i/>
          <w:spacing w:val="-15"/>
          <w:sz w:val="24"/>
          <w:szCs w:val="24"/>
        </w:rPr>
        <w:t>NURTURING INNOVATORS</w:t>
      </w:r>
    </w:p>
    <w:p w:rsidR="00E04699" w:rsidRDefault="009D2CEF">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SEPTEMBER-DECEMBER 2024 TRIMESTER </w:t>
      </w:r>
    </w:p>
    <w:p w:rsidR="00E04699" w:rsidRDefault="009D2CEF">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 FOR BACHELOR OF BUSINESS ADMINISRATION</w:t>
      </w:r>
    </w:p>
    <w:p w:rsidR="00E04699" w:rsidRDefault="009D2CEF">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EVENING/PROGRAMME</w:t>
      </w:r>
    </w:p>
    <w:p w:rsidR="00E04699" w:rsidRDefault="00E04699">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p>
    <w:p w:rsidR="00E04699" w:rsidRDefault="009D2CEF">
      <w:pPr>
        <w:jc w:val="center"/>
        <w:rPr>
          <w:rFonts w:ascii="Times New Roman" w:hAnsi="Times New Roman" w:cs="Times New Roman"/>
          <w:b/>
          <w:bCs/>
          <w:sz w:val="26"/>
          <w:szCs w:val="26"/>
        </w:rPr>
      </w:pPr>
      <w:r>
        <w:rPr>
          <w:rFonts w:ascii="Times New Roman" w:hAnsi="Times New Roman" w:cs="Times New Roman"/>
          <w:b/>
          <w:bCs/>
          <w:sz w:val="26"/>
          <w:szCs w:val="26"/>
          <w:lang w:val="en-GB"/>
        </w:rPr>
        <w:t>RPS 403: SUSTAINABLE SUPPLY CHAIN &amp; LOGISTICS MANAGEMENT</w:t>
      </w:r>
    </w:p>
    <w:p w:rsidR="003936C2" w:rsidRDefault="003936C2">
      <w:pPr>
        <w:autoSpaceDE w:val="0"/>
        <w:autoSpaceDN w:val="0"/>
        <w:adjustRightInd w:val="0"/>
        <w:spacing w:after="0" w:line="360" w:lineRule="auto"/>
        <w:jc w:val="both"/>
        <w:rPr>
          <w:rFonts w:ascii="Times New Roman" w:eastAsia="Times New Roman" w:hAnsi="Times New Roman" w:cs="Times New Roman"/>
          <w:b/>
          <w:bCs/>
          <w:spacing w:val="-15"/>
          <w:sz w:val="24"/>
          <w:szCs w:val="24"/>
        </w:rPr>
      </w:pPr>
    </w:p>
    <w:p w:rsidR="00E04699" w:rsidRDefault="009D2CEF">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sidR="003936C2">
        <w:rPr>
          <w:rFonts w:ascii="Times New Roman" w:eastAsia="Times New Roman" w:hAnsi="Times New Roman" w:cs="Times New Roman"/>
          <w:b/>
          <w:bCs/>
          <w:spacing w:val="-15"/>
          <w:sz w:val="24"/>
          <w:szCs w:val="24"/>
        </w:rPr>
        <w:t>4</w:t>
      </w:r>
      <w:r w:rsidR="003936C2" w:rsidRPr="003936C2">
        <w:rPr>
          <w:rFonts w:ascii="Times New Roman" w:eastAsia="Times New Roman" w:hAnsi="Times New Roman" w:cs="Times New Roman"/>
          <w:b/>
          <w:bCs/>
          <w:spacing w:val="-15"/>
          <w:sz w:val="24"/>
          <w:szCs w:val="24"/>
          <w:vertAlign w:val="superscript"/>
        </w:rPr>
        <w:t>TH</w:t>
      </w:r>
      <w:r w:rsidR="003936C2">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DECEMBER, 2024</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 xml:space="preserve">     </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TIME: 2 HOURS</w:t>
      </w:r>
    </w:p>
    <w:p w:rsidR="003936C2" w:rsidRPr="00A96A2B" w:rsidRDefault="003936C2" w:rsidP="003936C2">
      <w:pPr>
        <w:suppressAutoHyphens/>
        <w:spacing w:before="100" w:beforeAutospacing="1" w:after="0" w:line="273" w:lineRule="auto"/>
        <w:jc w:val="both"/>
        <w:textAlignment w:val="baseline"/>
        <w:rPr>
          <w:rFonts w:ascii="Times New Roman" w:eastAsia="Calibri" w:hAnsi="Times New Roman" w:cs="Times New Roman"/>
          <w:b/>
          <w:bCs/>
          <w:kern w:val="3"/>
          <w:sz w:val="24"/>
          <w:szCs w:val="24"/>
          <w:u w:val="single"/>
        </w:rPr>
      </w:pPr>
      <w:r w:rsidRPr="00A96A2B">
        <w:rPr>
          <w:rFonts w:ascii="Times New Roman" w:eastAsia="Calibri" w:hAnsi="Times New Roman" w:cs="Times New Roman"/>
          <w:b/>
          <w:bCs/>
          <w:kern w:val="3"/>
          <w:sz w:val="24"/>
          <w:szCs w:val="24"/>
          <w:u w:val="single"/>
        </w:rPr>
        <w:t>GENERAL INSTRUCTIONS:</w:t>
      </w:r>
    </w:p>
    <w:p w:rsidR="003936C2" w:rsidRPr="00A96A2B" w:rsidRDefault="003936C2" w:rsidP="003936C2">
      <w:pPr>
        <w:spacing w:before="100" w:beforeAutospacing="1" w:after="0" w:line="273" w:lineRule="auto"/>
        <w:jc w:val="both"/>
        <w:rPr>
          <w:rFonts w:ascii="Times New Roman" w:eastAsia="Calibri" w:hAnsi="Times New Roman" w:cs="Times New Roman"/>
          <w:sz w:val="24"/>
          <w:szCs w:val="24"/>
        </w:rPr>
      </w:pPr>
      <w:r w:rsidRPr="00A96A2B">
        <w:rPr>
          <w:rFonts w:ascii="Times New Roman" w:eastAsia="Calibri" w:hAnsi="Times New Roman" w:cs="Times New Roman"/>
          <w:sz w:val="24"/>
          <w:szCs w:val="24"/>
        </w:rPr>
        <w:t>Students are NOT permitted to write on the examination paper during reading time.</w:t>
      </w:r>
    </w:p>
    <w:p w:rsidR="003936C2" w:rsidRPr="00A96A2B" w:rsidRDefault="003936C2" w:rsidP="003936C2">
      <w:pPr>
        <w:spacing w:before="100" w:beforeAutospacing="1" w:after="0" w:line="273" w:lineRule="auto"/>
        <w:jc w:val="both"/>
        <w:rPr>
          <w:rFonts w:ascii="Times New Roman" w:eastAsia="Calibri" w:hAnsi="Times New Roman" w:cs="Times New Roman"/>
          <w:sz w:val="24"/>
          <w:szCs w:val="24"/>
        </w:rPr>
      </w:pPr>
      <w:r w:rsidRPr="00A96A2B">
        <w:rPr>
          <w:rFonts w:ascii="Times New Roman" w:eastAsia="Calibri" w:hAnsi="Times New Roman" w:cs="Times New Roman"/>
          <w:sz w:val="24"/>
          <w:szCs w:val="24"/>
        </w:rPr>
        <w:t>This is a closed book examination. Text book/Reference books/notes are not permitted.</w:t>
      </w:r>
    </w:p>
    <w:p w:rsidR="003936C2" w:rsidRPr="00A96A2B" w:rsidRDefault="003936C2" w:rsidP="003936C2">
      <w:pPr>
        <w:spacing w:before="100" w:beforeAutospacing="1" w:after="0" w:line="273" w:lineRule="auto"/>
        <w:jc w:val="both"/>
        <w:rPr>
          <w:rFonts w:ascii="Calibri" w:eastAsia="Times New Roman" w:hAnsi="Calibri" w:cs="Times New Roman"/>
        </w:rPr>
      </w:pPr>
      <w:r w:rsidRPr="00A96A2B">
        <w:rPr>
          <w:rFonts w:ascii="Times New Roman" w:eastAsia="Calibri" w:hAnsi="Times New Roman" w:cs="Times New Roman"/>
          <w:b/>
          <w:bCs/>
          <w:sz w:val="24"/>
          <w:szCs w:val="24"/>
          <w:u w:val="single"/>
        </w:rPr>
        <w:t xml:space="preserve"> SPECIAL INSTRUCTIONS</w:t>
      </w:r>
      <w:r w:rsidRPr="00A96A2B">
        <w:rPr>
          <w:rFonts w:ascii="Times New Roman" w:eastAsia="Calibri" w:hAnsi="Times New Roman" w:cs="Times New Roman"/>
          <w:b/>
          <w:bCs/>
          <w:sz w:val="24"/>
          <w:szCs w:val="24"/>
        </w:rPr>
        <w:t xml:space="preserve"> </w:t>
      </w:r>
    </w:p>
    <w:p w:rsidR="003936C2" w:rsidRPr="00A96A2B" w:rsidRDefault="003936C2" w:rsidP="003936C2">
      <w:pPr>
        <w:numPr>
          <w:ilvl w:val="0"/>
          <w:numId w:val="5"/>
        </w:numPr>
        <w:autoSpaceDE w:val="0"/>
        <w:autoSpaceDN w:val="0"/>
        <w:spacing w:before="100" w:beforeAutospacing="1" w:after="228" w:line="273" w:lineRule="auto"/>
        <w:jc w:val="both"/>
        <w:rPr>
          <w:rFonts w:ascii="Calibri" w:eastAsia="Times New Roman" w:hAnsi="Calibri" w:cs="Times New Roman"/>
        </w:rPr>
      </w:pPr>
      <w:r w:rsidRPr="00A96A2B">
        <w:rPr>
          <w:rFonts w:ascii="Times New Roman" w:eastAsia="Calibri" w:hAnsi="Times New Roman" w:cs="Times New Roman"/>
          <w:bCs/>
          <w:sz w:val="24"/>
          <w:szCs w:val="24"/>
        </w:rPr>
        <w:t xml:space="preserve">Write </w:t>
      </w:r>
      <w:proofErr w:type="gramStart"/>
      <w:r w:rsidRPr="00A96A2B">
        <w:rPr>
          <w:rFonts w:ascii="Times New Roman" w:eastAsia="Calibri" w:hAnsi="Times New Roman" w:cs="Times New Roman"/>
          <w:bCs/>
          <w:sz w:val="24"/>
          <w:szCs w:val="24"/>
        </w:rPr>
        <w:t>your</w:t>
      </w:r>
      <w:proofErr w:type="gramEnd"/>
      <w:r w:rsidRPr="00A96A2B">
        <w:rPr>
          <w:rFonts w:ascii="Times New Roman" w:eastAsia="Calibri" w:hAnsi="Times New Roman" w:cs="Times New Roman"/>
          <w:bCs/>
          <w:sz w:val="24"/>
          <w:szCs w:val="24"/>
        </w:rPr>
        <w:t xml:space="preserve"> REGISTRATION NO. Clearly on the answer booklet(s). </w:t>
      </w:r>
    </w:p>
    <w:p w:rsidR="003936C2" w:rsidRPr="00A96A2B" w:rsidRDefault="003936C2" w:rsidP="003936C2">
      <w:pPr>
        <w:numPr>
          <w:ilvl w:val="0"/>
          <w:numId w:val="5"/>
        </w:numPr>
        <w:spacing w:before="100" w:beforeAutospacing="1" w:after="0" w:line="273" w:lineRule="auto"/>
        <w:jc w:val="both"/>
        <w:rPr>
          <w:rFonts w:ascii="Calibri" w:eastAsia="Times New Roman" w:hAnsi="Calibri" w:cs="Times New Roman"/>
        </w:rPr>
      </w:pPr>
      <w:r w:rsidRPr="00A96A2B">
        <w:rPr>
          <w:rFonts w:ascii="Times New Roman" w:eastAsia="Calibri" w:hAnsi="Times New Roman" w:cs="Times New Roman"/>
          <w:sz w:val="24"/>
          <w:szCs w:val="24"/>
        </w:rPr>
        <w:t>Answer Question One and ANY other TWO questions.</w:t>
      </w:r>
    </w:p>
    <w:p w:rsidR="003936C2" w:rsidRPr="00A96A2B" w:rsidRDefault="003936C2" w:rsidP="003936C2">
      <w:pPr>
        <w:numPr>
          <w:ilvl w:val="0"/>
          <w:numId w:val="5"/>
        </w:numPr>
        <w:autoSpaceDE w:val="0"/>
        <w:autoSpaceDN w:val="0"/>
        <w:spacing w:before="100" w:beforeAutospacing="1" w:after="0" w:line="273" w:lineRule="auto"/>
        <w:jc w:val="both"/>
        <w:rPr>
          <w:rFonts w:ascii="Calibri" w:eastAsia="Times New Roman" w:hAnsi="Calibri" w:cs="Times New Roman"/>
        </w:rPr>
      </w:pPr>
      <w:r w:rsidRPr="00A96A2B">
        <w:rPr>
          <w:rFonts w:ascii="Times New Roman" w:eastAsia="Calibri" w:hAnsi="Times New Roman" w:cs="Times New Roman"/>
          <w:bCs/>
          <w:sz w:val="24"/>
          <w:szCs w:val="24"/>
        </w:rPr>
        <w:t xml:space="preserve">Questions in all sections should be answered in answer booklet(s) </w:t>
      </w:r>
    </w:p>
    <w:p w:rsidR="003936C2" w:rsidRPr="00A96A2B" w:rsidRDefault="003936C2" w:rsidP="003936C2">
      <w:pPr>
        <w:numPr>
          <w:ilvl w:val="0"/>
          <w:numId w:val="5"/>
        </w:numPr>
        <w:spacing w:before="100" w:beforeAutospacing="1" w:after="200" w:line="273" w:lineRule="auto"/>
        <w:rPr>
          <w:rFonts w:ascii="Calibri" w:eastAsia="Times New Roman" w:hAnsi="Calibri" w:cs="Times New Roman"/>
        </w:rPr>
      </w:pPr>
      <w:r w:rsidRPr="00A96A2B">
        <w:rPr>
          <w:rFonts w:ascii="Times New Roman" w:eastAsia="Calibri" w:hAnsi="Times New Roman" w:cs="Times New Roman"/>
          <w:bCs/>
          <w:sz w:val="24"/>
          <w:szCs w:val="24"/>
        </w:rPr>
        <w:t>PLEASE start the answer to EACH question on a NEW PAGE</w:t>
      </w:r>
      <w:r w:rsidRPr="00A96A2B">
        <w:rPr>
          <w:rFonts w:ascii="Times New Roman" w:eastAsia="Calibri" w:hAnsi="Times New Roman" w:cs="Times New Roman"/>
          <w:sz w:val="24"/>
          <w:szCs w:val="24"/>
        </w:rPr>
        <w:t>.</w:t>
      </w:r>
    </w:p>
    <w:p w:rsidR="003936C2" w:rsidRPr="00A96A2B" w:rsidRDefault="003936C2" w:rsidP="003936C2">
      <w:pPr>
        <w:numPr>
          <w:ilvl w:val="0"/>
          <w:numId w:val="5"/>
        </w:numPr>
        <w:autoSpaceDE w:val="0"/>
        <w:autoSpaceDN w:val="0"/>
        <w:spacing w:before="100" w:beforeAutospacing="1" w:after="228" w:line="273" w:lineRule="auto"/>
        <w:jc w:val="both"/>
        <w:rPr>
          <w:rFonts w:ascii="Calibri" w:eastAsia="Times New Roman" w:hAnsi="Calibri" w:cs="Times New Roman"/>
        </w:rPr>
      </w:pPr>
      <w:r w:rsidRPr="00A96A2B">
        <w:rPr>
          <w:rFonts w:ascii="Times New Roman" w:eastAsia="Calibri" w:hAnsi="Times New Roman" w:cs="Times New Roman"/>
          <w:bCs/>
          <w:sz w:val="24"/>
          <w:szCs w:val="24"/>
        </w:rPr>
        <w:t>For the questions, write the number of the question on the answer booklet(s) in the order you answered.</w:t>
      </w:r>
    </w:p>
    <w:p w:rsidR="003936C2" w:rsidRPr="00A96A2B" w:rsidRDefault="003936C2" w:rsidP="003936C2">
      <w:pPr>
        <w:numPr>
          <w:ilvl w:val="0"/>
          <w:numId w:val="5"/>
        </w:numPr>
        <w:spacing w:before="100" w:beforeAutospacing="1" w:after="200" w:line="273" w:lineRule="auto"/>
        <w:rPr>
          <w:rFonts w:ascii="Times New Roman" w:eastAsia="Calibri" w:hAnsi="Times New Roman" w:cs="Times New Roman"/>
          <w:sz w:val="24"/>
          <w:szCs w:val="24"/>
        </w:rPr>
      </w:pPr>
      <w:r w:rsidRPr="00A96A2B">
        <w:rPr>
          <w:rFonts w:ascii="Times New Roman" w:eastAsia="Calibri" w:hAnsi="Times New Roman" w:cs="Times New Roman"/>
          <w:sz w:val="24"/>
          <w:szCs w:val="24"/>
        </w:rPr>
        <w:t>Write on both sides of each leaf and indicate number of each question at the top of each page.</w:t>
      </w:r>
    </w:p>
    <w:p w:rsidR="003936C2" w:rsidRPr="00A96A2B" w:rsidRDefault="003936C2" w:rsidP="003936C2">
      <w:pPr>
        <w:numPr>
          <w:ilvl w:val="0"/>
          <w:numId w:val="5"/>
        </w:numPr>
        <w:autoSpaceDE w:val="0"/>
        <w:autoSpaceDN w:val="0"/>
        <w:spacing w:before="100" w:beforeAutospacing="1" w:after="228" w:line="273" w:lineRule="auto"/>
        <w:jc w:val="both"/>
        <w:rPr>
          <w:rFonts w:ascii="Calibri" w:eastAsia="Times New Roman" w:hAnsi="Calibri" w:cs="Times New Roman"/>
        </w:rPr>
      </w:pPr>
      <w:r w:rsidRPr="00A96A2B">
        <w:rPr>
          <w:rFonts w:ascii="Times New Roman" w:eastAsia="Calibri" w:hAnsi="Times New Roman" w:cs="Times New Roman"/>
          <w:bCs/>
          <w:sz w:val="24"/>
          <w:szCs w:val="24"/>
        </w:rPr>
        <w:t xml:space="preserve">Write the answers in a paragraph form unless stated otherwise. </w:t>
      </w:r>
    </w:p>
    <w:p w:rsidR="003936C2" w:rsidRPr="00A96A2B" w:rsidRDefault="003936C2" w:rsidP="003936C2">
      <w:pPr>
        <w:numPr>
          <w:ilvl w:val="0"/>
          <w:numId w:val="5"/>
        </w:numPr>
        <w:autoSpaceDE w:val="0"/>
        <w:autoSpaceDN w:val="0"/>
        <w:spacing w:before="100" w:beforeAutospacing="1" w:after="228" w:line="273" w:lineRule="auto"/>
        <w:jc w:val="both"/>
        <w:rPr>
          <w:rFonts w:ascii="Calibri" w:eastAsia="Times New Roman" w:hAnsi="Calibri" w:cs="Times New Roman"/>
        </w:rPr>
      </w:pPr>
      <w:r w:rsidRPr="00A96A2B">
        <w:rPr>
          <w:rFonts w:ascii="Times New Roman" w:eastAsia="Calibri" w:hAnsi="Times New Roman" w:cs="Times New Roman"/>
          <w:bCs/>
          <w:sz w:val="24"/>
          <w:szCs w:val="24"/>
        </w:rPr>
        <w:t xml:space="preserve">Marks allocated to each question are shown at the end of the question. </w:t>
      </w:r>
    </w:p>
    <w:p w:rsidR="003936C2" w:rsidRPr="00A96A2B" w:rsidRDefault="003936C2" w:rsidP="003936C2">
      <w:pPr>
        <w:numPr>
          <w:ilvl w:val="0"/>
          <w:numId w:val="5"/>
        </w:numPr>
        <w:spacing w:before="100" w:beforeAutospacing="1" w:after="200" w:line="273" w:lineRule="auto"/>
        <w:rPr>
          <w:rFonts w:ascii="Times New Roman" w:eastAsia="Calibri" w:hAnsi="Times New Roman" w:cs="Times New Roman"/>
          <w:sz w:val="24"/>
          <w:szCs w:val="24"/>
        </w:rPr>
      </w:pPr>
      <w:r w:rsidRPr="00A96A2B">
        <w:rPr>
          <w:rFonts w:ascii="Times New Roman" w:eastAsia="Calibri" w:hAnsi="Times New Roman" w:cs="Times New Roman"/>
          <w:sz w:val="24"/>
          <w:szCs w:val="24"/>
        </w:rPr>
        <w:t>All rough work must be done on the answer booklet and crossed through!</w:t>
      </w:r>
    </w:p>
    <w:p w:rsidR="003936C2" w:rsidRPr="00A96A2B" w:rsidRDefault="003936C2" w:rsidP="003936C2">
      <w:pPr>
        <w:numPr>
          <w:ilvl w:val="0"/>
          <w:numId w:val="5"/>
        </w:numPr>
        <w:spacing w:before="100" w:beforeAutospacing="1" w:after="200" w:line="273" w:lineRule="auto"/>
        <w:rPr>
          <w:rFonts w:ascii="Times New Roman" w:eastAsia="Calibri" w:hAnsi="Times New Roman" w:cs="Times New Roman"/>
          <w:sz w:val="24"/>
          <w:szCs w:val="24"/>
        </w:rPr>
      </w:pPr>
      <w:r w:rsidRPr="00A96A2B">
        <w:rPr>
          <w:rFonts w:ascii="Times New Roman" w:eastAsia="Calibri" w:hAnsi="Times New Roman" w:cs="Times New Roman"/>
          <w:sz w:val="24"/>
          <w:szCs w:val="24"/>
        </w:rPr>
        <w:t>Use supplementary pages only when you have exhausted those in this book</w:t>
      </w:r>
    </w:p>
    <w:p w:rsidR="003936C2" w:rsidRPr="00A96A2B" w:rsidRDefault="003936C2" w:rsidP="003936C2">
      <w:pPr>
        <w:numPr>
          <w:ilvl w:val="0"/>
          <w:numId w:val="5"/>
        </w:numPr>
        <w:spacing w:before="100" w:beforeAutospacing="1" w:after="0" w:line="273" w:lineRule="auto"/>
        <w:rPr>
          <w:rFonts w:ascii="Calibri" w:eastAsia="Times New Roman" w:hAnsi="Calibri" w:cs="Times New Roman"/>
        </w:rPr>
      </w:pPr>
      <w:r w:rsidRPr="00A96A2B">
        <w:rPr>
          <w:rFonts w:ascii="Times New Roman" w:eastAsia="Calibri" w:hAnsi="Times New Roman" w:cs="Times New Roman"/>
          <w:sz w:val="24"/>
          <w:szCs w:val="24"/>
        </w:rPr>
        <w:t>Fasten the supplementary pages to the inside back cover of this booklet</w:t>
      </w:r>
    </w:p>
    <w:p w:rsidR="00E04699" w:rsidRDefault="00E04699">
      <w:pPr>
        <w:rPr>
          <w:rFonts w:ascii="Book Antiqua" w:hAnsi="Book Antiqua"/>
          <w:b/>
          <w:sz w:val="24"/>
          <w:szCs w:val="24"/>
        </w:rPr>
      </w:pPr>
      <w:bookmarkStart w:id="1" w:name="_GoBack"/>
      <w:bookmarkEnd w:id="1"/>
    </w:p>
    <w:p w:rsidR="00E04699" w:rsidRDefault="009D2CEF">
      <w:pPr>
        <w:rPr>
          <w:rFonts w:ascii="Book Antiqua" w:hAnsi="Book Antiqua"/>
          <w:b/>
          <w:sz w:val="24"/>
          <w:szCs w:val="24"/>
        </w:rPr>
      </w:pPr>
      <w:r>
        <w:rPr>
          <w:rFonts w:ascii="Book Antiqua" w:hAnsi="Book Antiqua"/>
          <w:b/>
          <w:sz w:val="24"/>
          <w:szCs w:val="24"/>
        </w:rPr>
        <w:lastRenderedPageBreak/>
        <w:t>QUESTION ONE: COMPULSORY (30 MARKS)</w:t>
      </w:r>
    </w:p>
    <w:p w:rsidR="00E04699" w:rsidRDefault="009D2CEF">
      <w:pPr>
        <w:spacing w:after="0" w:line="360" w:lineRule="auto"/>
        <w:jc w:val="both"/>
        <w:rPr>
          <w:rFonts w:ascii="Book Antiqua" w:hAnsi="Book Antiqua"/>
          <w:sz w:val="24"/>
          <w:szCs w:val="24"/>
        </w:rPr>
      </w:pPr>
      <w:r>
        <w:rPr>
          <w:rFonts w:ascii="Book Antiqua" w:hAnsi="Book Antiqua"/>
          <w:sz w:val="24"/>
          <w:szCs w:val="24"/>
        </w:rPr>
        <w:t>Read the case below and an</w:t>
      </w:r>
      <w:r>
        <w:rPr>
          <w:rFonts w:ascii="Book Antiqua" w:hAnsi="Book Antiqua"/>
          <w:sz w:val="24"/>
          <w:szCs w:val="24"/>
        </w:rPr>
        <w:t>swer the questions that follow:</w:t>
      </w:r>
    </w:p>
    <w:p w:rsidR="00E04699" w:rsidRDefault="009D2CEF">
      <w:pPr>
        <w:pStyle w:val="NormalWeb"/>
        <w:shd w:val="clear" w:color="auto" w:fill="FFFFFF"/>
        <w:spacing w:before="75" w:beforeAutospacing="0" w:after="0" w:afterAutospacing="0" w:line="360" w:lineRule="auto"/>
        <w:jc w:val="center"/>
        <w:rPr>
          <w:rFonts w:ascii="Book Antiqua" w:hAnsi="Book Antiqua"/>
          <w:b/>
        </w:rPr>
      </w:pPr>
      <w:r>
        <w:rPr>
          <w:rFonts w:ascii="Book Antiqua" w:hAnsi="Book Antiqua"/>
          <w:b/>
        </w:rPr>
        <w:t>CASE STUDY</w:t>
      </w:r>
    </w:p>
    <w:p w:rsidR="00E04699" w:rsidRDefault="009D2CEF">
      <w:pPr>
        <w:pStyle w:val="Default"/>
        <w:jc w:val="center"/>
        <w:rPr>
          <w:rFonts w:ascii="Book Antiqua" w:hAnsi="Book Antiqua" w:cs="Times New Roman"/>
          <w:sz w:val="26"/>
          <w:szCs w:val="26"/>
        </w:rPr>
      </w:pPr>
      <w:r>
        <w:rPr>
          <w:rFonts w:ascii="Book Antiqua" w:hAnsi="Book Antiqua" w:cs="Times New Roman"/>
          <w:b/>
          <w:bCs/>
          <w:sz w:val="26"/>
          <w:szCs w:val="26"/>
        </w:rPr>
        <w:t xml:space="preserve">Dell’s </w:t>
      </w:r>
      <w:proofErr w:type="gramStart"/>
      <w:r>
        <w:rPr>
          <w:rFonts w:ascii="Book Antiqua" w:hAnsi="Book Antiqua" w:cs="Times New Roman"/>
          <w:b/>
          <w:bCs/>
          <w:sz w:val="26"/>
          <w:szCs w:val="26"/>
        </w:rPr>
        <w:t>Closed</w:t>
      </w:r>
      <w:proofErr w:type="gramEnd"/>
      <w:r>
        <w:rPr>
          <w:rFonts w:ascii="Book Antiqua" w:hAnsi="Book Antiqua" w:cs="Times New Roman"/>
          <w:b/>
          <w:bCs/>
          <w:sz w:val="26"/>
          <w:szCs w:val="26"/>
        </w:rPr>
        <w:t xml:space="preserve"> loop recycled plastic supply chain</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 xml:space="preserve">Dell has the world’s largest electronics take-back program, which operates across 83 countries and territories. The program has recovered approximately 800,000 </w:t>
      </w:r>
      <w:proofErr w:type="spellStart"/>
      <w:r>
        <w:rPr>
          <w:rFonts w:ascii="Book Antiqua" w:hAnsi="Book Antiqua" w:cs="Times New Roman"/>
        </w:rPr>
        <w:t>tonnes</w:t>
      </w:r>
      <w:proofErr w:type="spellEnd"/>
      <w:r>
        <w:rPr>
          <w:rFonts w:ascii="Book Antiqua" w:hAnsi="Book Antiqua" w:cs="Times New Roman"/>
        </w:rPr>
        <w:t xml:space="preserve"> of electronics since 2008. For commercial customers, they offer a full-spectrum of logist</w:t>
      </w:r>
      <w:r>
        <w:rPr>
          <w:rFonts w:ascii="Book Antiqua" w:hAnsi="Book Antiqua" w:cs="Times New Roman"/>
        </w:rPr>
        <w:t>ics and disposal capabilities via the Asset Resale and Recycling Service. This includes data security, on-site shredding, recycling and full traceability reporting. Dell also makes it easy for individual consumers to recycle. They partner with freight comp</w:t>
      </w:r>
      <w:r>
        <w:rPr>
          <w:rFonts w:ascii="Book Antiqua" w:hAnsi="Book Antiqua" w:cs="Times New Roman"/>
        </w:rPr>
        <w:t xml:space="preserve">anies to provide free mail-back recycling of Dell-branded equipment. In many countries, the program picks up used equipment from a customer’s home.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The tech giant Dell is making steps towards a more "circular" supply chain. Increased volatility in commod</w:t>
      </w:r>
      <w:r>
        <w:rPr>
          <w:rFonts w:ascii="Book Antiqua" w:hAnsi="Book Antiqua" w:cs="Times New Roman"/>
        </w:rPr>
        <w:t>ities and growing pressure on resources have alerted Dell to the necessity of rethinking materials and energy use. In 2013, Dell committed to putting a total of 50 million pounds of recycled materials back into its products by 2020. The company reached thi</w:t>
      </w:r>
      <w:r>
        <w:rPr>
          <w:rFonts w:ascii="Book Antiqua" w:hAnsi="Book Antiqua" w:cs="Times New Roman"/>
        </w:rPr>
        <w:t>s goal in the beginning of 2017 and is continuing to scale the efforts.  For Dell, sourcing postconsumer recycled plastics from the market and building a new, stable closed-loop supply chain for plastics from used electronics collected through take-back pr</w:t>
      </w:r>
      <w:r>
        <w:rPr>
          <w:rFonts w:ascii="Book Antiqua" w:hAnsi="Book Antiqua" w:cs="Times New Roman"/>
        </w:rPr>
        <w:t xml:space="preserve">ogrammes are viable and affordable alternatives to using virgin materials.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Dell takes a whole ecosystem view of its product lifecycles, which is transforming the way products and services are designed. Dell’s lifecycle approach aims to keep viable produc</w:t>
      </w:r>
      <w:r>
        <w:rPr>
          <w:rFonts w:ascii="Book Antiqua" w:hAnsi="Book Antiqua" w:cs="Times New Roman"/>
        </w:rPr>
        <w:t xml:space="preserve">ts and parts in circulation for longer, with global efforts to reuse, refurbish and resell products and parts to extend their lifetimes as much as possible and recycle them at end of life.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In 2014, Dell launched its closed-loop recycled plastics supply c</w:t>
      </w:r>
      <w:r>
        <w:rPr>
          <w:rFonts w:ascii="Book Antiqua" w:hAnsi="Book Antiqua" w:cs="Times New Roman"/>
        </w:rPr>
        <w:t>hain to accelerate progress against their goal of using 50 million pounds of sustainable materials. Since then, they have used more than 10.5 million pounds of closed-loop plastics in new products. The programme is run in partnership with various supply ch</w:t>
      </w:r>
      <w:r>
        <w:rPr>
          <w:rFonts w:ascii="Book Antiqua" w:hAnsi="Book Antiqua" w:cs="Times New Roman"/>
        </w:rPr>
        <w:t xml:space="preserve">ain partners - the Reconnect Program allows people to drop off any brand of used electronics to more than 2,000 Goodwill locations in the U.S. Dell Reconnect accepts any brand of computer equipment in any condition from consumers and recycles it for free. </w:t>
      </w:r>
      <w:r>
        <w:rPr>
          <w:rFonts w:ascii="Book Antiqua" w:hAnsi="Book Antiqua" w:cs="Times New Roman"/>
        </w:rPr>
        <w:t xml:space="preserve">The proceeds from donation are all returned to Goodwill and help to support Goodwill's important mission of putting people to work. Customers are helping to protect the environment and benefit the community at the same time. </w:t>
      </w:r>
    </w:p>
    <w:p w:rsidR="00E04699" w:rsidRDefault="00E04699">
      <w:pPr>
        <w:pStyle w:val="Default"/>
        <w:jc w:val="both"/>
        <w:rPr>
          <w:rFonts w:ascii="Book Antiqua" w:hAnsi="Book Antiqua"/>
          <w:sz w:val="22"/>
          <w:szCs w:val="22"/>
        </w:rPr>
      </w:pPr>
    </w:p>
    <w:p w:rsidR="00E04699" w:rsidRDefault="009D2CEF">
      <w:pPr>
        <w:pStyle w:val="Default"/>
        <w:jc w:val="both"/>
        <w:rPr>
          <w:rFonts w:ascii="Book Antiqua" w:hAnsi="Book Antiqua" w:cs="Times New Roman"/>
        </w:rPr>
      </w:pPr>
      <w:r>
        <w:rPr>
          <w:rFonts w:ascii="Book Antiqua" w:hAnsi="Book Antiqua" w:cs="Times New Roman"/>
        </w:rPr>
        <w:lastRenderedPageBreak/>
        <w:t>The program entails collectin</w:t>
      </w:r>
      <w:r>
        <w:rPr>
          <w:rFonts w:ascii="Book Antiqua" w:hAnsi="Book Antiqua" w:cs="Times New Roman"/>
        </w:rPr>
        <w:t xml:space="preserve">g, recycling and using e-waste to make new Dell products. It begins with plastics getting sorted out of the various take-back streams, further processed and then sent to a manufacturing partner in Asia. The plastics are then melted down and </w:t>
      </w:r>
      <w:proofErr w:type="spellStart"/>
      <w:r>
        <w:rPr>
          <w:rFonts w:ascii="Book Antiqua" w:hAnsi="Book Antiqua" w:cs="Times New Roman"/>
        </w:rPr>
        <w:t>moulded</w:t>
      </w:r>
      <w:proofErr w:type="spellEnd"/>
      <w:r>
        <w:rPr>
          <w:rFonts w:ascii="Book Antiqua" w:hAnsi="Book Antiqua" w:cs="Times New Roman"/>
        </w:rPr>
        <w:t xml:space="preserve"> into ne</w:t>
      </w:r>
      <w:r>
        <w:rPr>
          <w:rFonts w:ascii="Book Antiqua" w:hAnsi="Book Antiqua" w:cs="Times New Roman"/>
        </w:rPr>
        <w:t xml:space="preserve">w parts and computer components (a closed-loop system). The whole process – from the time the equipment is received for recycling to the time the plastics are back in a customer’s hands as part of a new product – takes less than 6 months.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 xml:space="preserve">Product design </w:t>
      </w:r>
      <w:r>
        <w:rPr>
          <w:rFonts w:ascii="Book Antiqua" w:hAnsi="Book Antiqua" w:cs="Times New Roman"/>
        </w:rPr>
        <w:t>emphasizes ease of repair and recyclability from the beginning. Dell also continually looks for ways to incorporate sustainable materials, such as recycled plastic and reclaimed carbon fiber into products and packaging. Dell now offers over 90 products mad</w:t>
      </w:r>
      <w:r>
        <w:rPr>
          <w:rFonts w:ascii="Book Antiqua" w:hAnsi="Book Antiqua" w:cs="Times New Roman"/>
        </w:rPr>
        <w:t xml:space="preserve">e with closed-loop recycled plastics such as flat panel monitors, desktops and all-in-one computers.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For the business, the closed-loop system provides a more stable price than the use of virgin materials, which fluctuates with the cost of oil. It also re</w:t>
      </w:r>
      <w:r>
        <w:rPr>
          <w:rFonts w:ascii="Book Antiqua" w:hAnsi="Book Antiqua" w:cs="Times New Roman"/>
        </w:rPr>
        <w:t>duces the company’s dependence on environmentally costly virgin materials and building a new, sustainable source of recycled plastics. Furthermore, by reusing plastics already in circulation, Dell is cutting down on e-waste, reducing carbon emissions and h</w:t>
      </w:r>
      <w:r>
        <w:rPr>
          <w:rFonts w:ascii="Book Antiqua" w:hAnsi="Book Antiqua" w:cs="Times New Roman"/>
        </w:rPr>
        <w:t>elping drive a circular economy for IT. The closed-loop process has 11% lower carbon footprint when compared to virgin plastic. The closed-loop plastics supply chain delivers products that are better for the environment, which is increasingly what Dell cus</w:t>
      </w:r>
      <w:r>
        <w:rPr>
          <w:rFonts w:ascii="Book Antiqua" w:hAnsi="Book Antiqua" w:cs="Times New Roman"/>
        </w:rPr>
        <w:t>tomers demand.</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Dell’s leadership in recovering and reusing plastic from used computers is important for transitioning the larger electronics industry toward circular economy. The use of closed-loop plastic may create a demand for plastic from used compute</w:t>
      </w:r>
      <w:r>
        <w:rPr>
          <w:rFonts w:ascii="Book Antiqua" w:hAnsi="Book Antiqua" w:cs="Times New Roman"/>
        </w:rPr>
        <w:t>rs and increase the level of recycling of plastic from electronics. This in return generates new jobs and opportunities for those in the nascent industry.</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Moving from ‘business as usual’ to more sustainable life cycles can deliver significant benefits. Th</w:t>
      </w:r>
      <w:r>
        <w:rPr>
          <w:rFonts w:ascii="Book Antiqua" w:hAnsi="Book Antiqua" w:cs="Times New Roman"/>
        </w:rPr>
        <w:t xml:space="preserve">is however requires a change throughout supply chains, product design and manufacturing, customer engagement, and post-use collection and recycling. In order to build a new supply chain and generate sufficient volumes of closed-loop plastics, Dell has had </w:t>
      </w:r>
      <w:r>
        <w:rPr>
          <w:rFonts w:ascii="Book Antiqua" w:hAnsi="Book Antiqua" w:cs="Times New Roman"/>
        </w:rPr>
        <w:t xml:space="preserve">to work to create new systems,” explained Koch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Transitioning from a "take-make-dispose" linear supply chain to a circular one is a challenging process. Dell has had to overcome a number of challenges in making the move.  One of the biggest challenges tha</w:t>
      </w:r>
      <w:r>
        <w:rPr>
          <w:rFonts w:ascii="Book Antiqua" w:hAnsi="Book Antiqua" w:cs="Times New Roman"/>
        </w:rPr>
        <w:t>t Dell faced with the closed-loop recycling was understanding what plastic can be incorporated back into new products. Dell worked with partners to test different approaches. For mechanical and aesthetic reasons, the blend of recycled-content with virgin p</w:t>
      </w:r>
      <w:r>
        <w:rPr>
          <w:rFonts w:ascii="Book Antiqua" w:hAnsi="Book Antiqua" w:cs="Times New Roman"/>
        </w:rPr>
        <w:t xml:space="preserve">lastics was needed.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lastRenderedPageBreak/>
        <w:t xml:space="preserve">Another challenge involves establishing a reliable closed-loop supply chain. Supply of products and plastic is coming from Dell’s own sources which adds a greater degree of insight and security. However, for the closed-loop recycling </w:t>
      </w:r>
      <w:r>
        <w:rPr>
          <w:rFonts w:ascii="Book Antiqua" w:hAnsi="Book Antiqua" w:cs="Times New Roman"/>
        </w:rPr>
        <w:t>to work and scale, Dell needs a security of supply, which can be difficult with fluctuating numbers of products collected through take-back. The situation is further complicated by shrinking form factors – meaning there is less plastic per item recycled as</w:t>
      </w:r>
      <w:r>
        <w:rPr>
          <w:rFonts w:ascii="Book Antiqua" w:hAnsi="Book Antiqua" w:cs="Times New Roman"/>
        </w:rPr>
        <w:t xml:space="preserve"> electronics become smaller. Hence Dell needs to continue to drive increasing participation in take-back programs while exploring other means of acquiring recycled-content materials.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 xml:space="preserve">There is the challenge of moving things around. Dell customers are all </w:t>
      </w:r>
      <w:r>
        <w:rPr>
          <w:rFonts w:ascii="Book Antiqua" w:hAnsi="Book Antiqua" w:cs="Times New Roman"/>
        </w:rPr>
        <w:t>over the world, which means take-back happens all over the world. Materials need to be collected in sufficiently dense amounts to make shipping to a centralized processor worth the economic and environmental costs. This involves logistics, regulations, amo</w:t>
      </w:r>
      <w:r>
        <w:rPr>
          <w:rFonts w:ascii="Book Antiqua" w:hAnsi="Book Antiqua" w:cs="Times New Roman"/>
        </w:rPr>
        <w:t xml:space="preserve">ng others. In Europe, for example, closed-border regulation inhibits transportation of electronic waste and at the present makes it unfeasible for Dell to stand up a branch of their closed-loop supply chain there. </w:t>
      </w:r>
    </w:p>
    <w:p w:rsidR="00E04699" w:rsidRDefault="00E04699">
      <w:pPr>
        <w:pStyle w:val="Default"/>
        <w:jc w:val="both"/>
        <w:rPr>
          <w:rFonts w:ascii="Book Antiqua" w:hAnsi="Book Antiqua" w:cs="Times New Roman"/>
        </w:rPr>
      </w:pPr>
    </w:p>
    <w:p w:rsidR="00E04699" w:rsidRDefault="009D2CEF">
      <w:pPr>
        <w:pStyle w:val="Default"/>
        <w:jc w:val="both"/>
        <w:rPr>
          <w:rFonts w:ascii="Book Antiqua" w:hAnsi="Book Antiqua" w:cs="Times New Roman"/>
        </w:rPr>
      </w:pPr>
      <w:r>
        <w:rPr>
          <w:rFonts w:ascii="Book Antiqua" w:hAnsi="Book Antiqua" w:cs="Times New Roman"/>
        </w:rPr>
        <w:t>The final challenge for Dell is to demon</w:t>
      </w:r>
      <w:r>
        <w:rPr>
          <w:rFonts w:ascii="Book Antiqua" w:hAnsi="Book Antiqua" w:cs="Times New Roman"/>
        </w:rPr>
        <w:t xml:space="preserve">strate the benefits of closed-loop recycling to customers. Ultimately, these products look and perform exactly the same as those made from virgin materials. Dell must communicate the value proposition to customers well, highlighting the amount of recycled </w:t>
      </w:r>
      <w:r>
        <w:rPr>
          <w:rFonts w:ascii="Book Antiqua" w:hAnsi="Book Antiqua" w:cs="Times New Roman"/>
        </w:rPr>
        <w:t xml:space="preserve">content in the final product, the closed-loop nature of the materials, and the benefits to the customers’ own sustainability goals. </w:t>
      </w:r>
    </w:p>
    <w:p w:rsidR="00E04699" w:rsidRDefault="009D2CEF">
      <w:pPr>
        <w:pStyle w:val="Default"/>
        <w:jc w:val="both"/>
        <w:rPr>
          <w:rFonts w:ascii="Book Antiqua" w:hAnsi="Book Antiqua" w:cs="Times New Roman"/>
        </w:rPr>
      </w:pPr>
      <w:r>
        <w:rPr>
          <w:rFonts w:ascii="Book Antiqua" w:hAnsi="Book Antiqua" w:cs="Times New Roman"/>
        </w:rPr>
        <w:t>_____________________________________________________________________________</w:t>
      </w:r>
    </w:p>
    <w:p w:rsidR="00E04699" w:rsidRDefault="009D2CEF">
      <w:pPr>
        <w:pStyle w:val="Default"/>
        <w:rPr>
          <w:rFonts w:ascii="Book Antiqua" w:hAnsi="Book Antiqua" w:cs="Times New Roman"/>
          <w:i/>
          <w:iCs/>
          <w:sz w:val="20"/>
          <w:szCs w:val="20"/>
        </w:rPr>
      </w:pPr>
      <w:r>
        <w:rPr>
          <w:rFonts w:ascii="Book Antiqua" w:hAnsi="Book Antiqua"/>
          <w:sz w:val="20"/>
          <w:szCs w:val="20"/>
        </w:rPr>
        <w:t xml:space="preserve">Adopted from: </w:t>
      </w:r>
      <w:proofErr w:type="spellStart"/>
      <w:r>
        <w:rPr>
          <w:rFonts w:ascii="Book Antiqua" w:hAnsi="Book Antiqua" w:cs="Times New Roman"/>
          <w:color w:val="auto"/>
          <w:sz w:val="20"/>
          <w:szCs w:val="20"/>
        </w:rPr>
        <w:t>Wolk-Lewanowicz</w:t>
      </w:r>
      <w:proofErr w:type="spellEnd"/>
      <w:r>
        <w:rPr>
          <w:rFonts w:ascii="Book Antiqua" w:hAnsi="Book Antiqua" w:cs="Times New Roman"/>
          <w:color w:val="auto"/>
          <w:sz w:val="20"/>
          <w:szCs w:val="20"/>
        </w:rPr>
        <w:t xml:space="preserve">, </w:t>
      </w:r>
      <w:proofErr w:type="spellStart"/>
      <w:r>
        <w:rPr>
          <w:rFonts w:ascii="Book Antiqua" w:hAnsi="Book Antiqua" w:cs="Times New Roman"/>
          <w:color w:val="auto"/>
          <w:sz w:val="20"/>
          <w:szCs w:val="20"/>
        </w:rPr>
        <w:t>Agata</w:t>
      </w:r>
      <w:proofErr w:type="spellEnd"/>
      <w:r>
        <w:rPr>
          <w:rFonts w:ascii="Book Antiqua" w:hAnsi="Book Antiqua" w:cs="Times New Roman"/>
          <w:color w:val="auto"/>
          <w:sz w:val="20"/>
          <w:szCs w:val="20"/>
        </w:rPr>
        <w:t xml:space="preserve">; </w:t>
      </w:r>
      <w:proofErr w:type="spellStart"/>
      <w:r>
        <w:rPr>
          <w:rFonts w:ascii="Book Antiqua" w:hAnsi="Book Antiqua" w:cs="Times New Roman"/>
          <w:color w:val="auto"/>
          <w:sz w:val="20"/>
          <w:szCs w:val="20"/>
        </w:rPr>
        <w:t>Roll</w:t>
      </w:r>
      <w:proofErr w:type="gramStart"/>
      <w:r>
        <w:rPr>
          <w:rFonts w:ascii="Book Antiqua" w:hAnsi="Book Antiqua" w:cs="Times New Roman"/>
          <w:color w:val="auto"/>
          <w:sz w:val="20"/>
          <w:szCs w:val="20"/>
        </w:rPr>
        <w:t>,Ka</w:t>
      </w:r>
      <w:r>
        <w:rPr>
          <w:rFonts w:ascii="Book Antiqua" w:hAnsi="Book Antiqua" w:cs="Times New Roman"/>
          <w:color w:val="auto"/>
          <w:sz w:val="20"/>
          <w:szCs w:val="20"/>
        </w:rPr>
        <w:t>te</w:t>
      </w:r>
      <w:proofErr w:type="spellEnd"/>
      <w:proofErr w:type="gramEnd"/>
      <w:r>
        <w:rPr>
          <w:rFonts w:ascii="Book Antiqua" w:hAnsi="Book Antiqua" w:cs="Times New Roman"/>
          <w:color w:val="auto"/>
          <w:sz w:val="20"/>
          <w:szCs w:val="20"/>
        </w:rPr>
        <w:t xml:space="preserve">; Koch, Louise &amp; Roberts, Stephen (2017) </w:t>
      </w:r>
      <w:r>
        <w:rPr>
          <w:rFonts w:ascii="Book Antiqua" w:hAnsi="Book Antiqua" w:cs="Times New Roman"/>
          <w:i/>
          <w:iCs/>
          <w:sz w:val="20"/>
          <w:szCs w:val="20"/>
        </w:rPr>
        <w:t>The Business Case for a Sustainable Supply Chain: DELL</w:t>
      </w:r>
    </w:p>
    <w:p w:rsidR="00E04699" w:rsidRDefault="009D2CEF">
      <w:pPr>
        <w:pStyle w:val="Default"/>
        <w:rPr>
          <w:rFonts w:ascii="Book Antiqua" w:hAnsi="Book Antiqua"/>
          <w:sz w:val="20"/>
          <w:szCs w:val="20"/>
        </w:rPr>
      </w:pPr>
      <w:r>
        <w:rPr>
          <w:rFonts w:ascii="Book Antiqua" w:eastAsia="Times New Roman" w:hAnsi="Book Antiqua"/>
          <w:b/>
          <w:u w:val="single"/>
        </w:rPr>
        <w:t>Required:</w:t>
      </w:r>
    </w:p>
    <w:p w:rsidR="00E04699" w:rsidRDefault="00E04699">
      <w:pPr>
        <w:pStyle w:val="NoSpacing"/>
        <w:jc w:val="both"/>
        <w:rPr>
          <w:rFonts w:ascii="Book Antiqua" w:eastAsia="Times New Roman" w:hAnsi="Book Antiqua"/>
          <w:b/>
          <w:sz w:val="24"/>
          <w:szCs w:val="24"/>
          <w:u w:val="single"/>
        </w:rPr>
      </w:pPr>
    </w:p>
    <w:p w:rsidR="00E04699" w:rsidRDefault="009D2CEF">
      <w:pPr>
        <w:spacing w:after="0" w:line="480" w:lineRule="auto"/>
        <w:jc w:val="both"/>
        <w:rPr>
          <w:rFonts w:ascii="Book Antiqua" w:hAnsi="Book Antiqua"/>
          <w:b/>
          <w:sz w:val="24"/>
          <w:szCs w:val="24"/>
        </w:rPr>
      </w:pPr>
      <w:r>
        <w:rPr>
          <w:rFonts w:ascii="Book Antiqua" w:hAnsi="Book Antiqua"/>
          <w:b/>
          <w:sz w:val="24"/>
          <w:szCs w:val="24"/>
        </w:rPr>
        <w:t>QUESTION ONE:</w:t>
      </w:r>
    </w:p>
    <w:p w:rsidR="00E04699" w:rsidRDefault="009D2CEF">
      <w:pPr>
        <w:pStyle w:val="NoSpacing"/>
        <w:numPr>
          <w:ilvl w:val="0"/>
          <w:numId w:val="1"/>
        </w:numPr>
        <w:suppressAutoHyphens w:val="0"/>
        <w:autoSpaceDE w:val="0"/>
        <w:autoSpaceDN w:val="0"/>
        <w:adjustRightInd w:val="0"/>
        <w:spacing w:line="360" w:lineRule="auto"/>
        <w:ind w:left="540"/>
        <w:jc w:val="both"/>
        <w:rPr>
          <w:rFonts w:ascii="Book Antiqua" w:hAnsi="Book Antiqua"/>
          <w:sz w:val="24"/>
          <w:szCs w:val="24"/>
        </w:rPr>
      </w:pPr>
      <w:r>
        <w:rPr>
          <w:rFonts w:ascii="Book Antiqua" w:hAnsi="Book Antiqua"/>
          <w:sz w:val="24"/>
          <w:szCs w:val="24"/>
        </w:rPr>
        <w:t xml:space="preserve">Distinguish the terms </w:t>
      </w:r>
      <w:r>
        <w:rPr>
          <w:rFonts w:ascii="Book Antiqua" w:hAnsi="Book Antiqua"/>
          <w:b/>
          <w:sz w:val="24"/>
          <w:szCs w:val="24"/>
        </w:rPr>
        <w:t xml:space="preserve">Sustainable supply chain management </w:t>
      </w:r>
      <w:r>
        <w:rPr>
          <w:rFonts w:ascii="Book Antiqua" w:hAnsi="Book Antiqua"/>
          <w:sz w:val="24"/>
          <w:szCs w:val="24"/>
        </w:rPr>
        <w:t xml:space="preserve">and </w:t>
      </w:r>
      <w:r>
        <w:rPr>
          <w:rFonts w:ascii="Book Antiqua" w:hAnsi="Book Antiqua"/>
          <w:b/>
          <w:sz w:val="24"/>
          <w:szCs w:val="24"/>
        </w:rPr>
        <w:t xml:space="preserve">closed loop supply chains </w:t>
      </w:r>
      <w:r>
        <w:rPr>
          <w:rFonts w:ascii="Book Antiqua" w:hAnsi="Book Antiqua"/>
          <w:sz w:val="24"/>
          <w:szCs w:val="24"/>
        </w:rPr>
        <w:t xml:space="preserve">as applied in this case study </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b/>
          <w:sz w:val="24"/>
          <w:szCs w:val="24"/>
        </w:rPr>
        <w:t>(4 marks).</w:t>
      </w:r>
    </w:p>
    <w:p w:rsidR="00E04699" w:rsidRDefault="009D2CEF">
      <w:pPr>
        <w:pStyle w:val="NoSpacing"/>
        <w:numPr>
          <w:ilvl w:val="0"/>
          <w:numId w:val="1"/>
        </w:numPr>
        <w:suppressAutoHyphens w:val="0"/>
        <w:autoSpaceDE w:val="0"/>
        <w:autoSpaceDN w:val="0"/>
        <w:adjustRightInd w:val="0"/>
        <w:spacing w:line="360" w:lineRule="auto"/>
        <w:ind w:left="540"/>
        <w:jc w:val="both"/>
        <w:rPr>
          <w:rFonts w:ascii="Book Antiqua" w:hAnsi="Book Antiqua"/>
          <w:sz w:val="24"/>
          <w:szCs w:val="24"/>
        </w:rPr>
      </w:pPr>
      <w:r>
        <w:rPr>
          <w:rFonts w:ascii="Book Antiqua" w:hAnsi="Book Antiqua"/>
          <w:sz w:val="24"/>
          <w:szCs w:val="24"/>
        </w:rPr>
        <w:t xml:space="preserve">Elaborate three (3) merits and three (3) demerits of closed loop supply chains as elaborated in the above case </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b/>
          <w:sz w:val="24"/>
          <w:szCs w:val="24"/>
        </w:rPr>
        <w:t>(6 marks).</w:t>
      </w:r>
    </w:p>
    <w:p w:rsidR="00E04699" w:rsidRDefault="009D2CEF">
      <w:pPr>
        <w:pStyle w:val="NoSpacing"/>
        <w:numPr>
          <w:ilvl w:val="0"/>
          <w:numId w:val="1"/>
        </w:numPr>
        <w:suppressAutoHyphens w:val="0"/>
        <w:autoSpaceDE w:val="0"/>
        <w:autoSpaceDN w:val="0"/>
        <w:adjustRightInd w:val="0"/>
        <w:spacing w:line="360" w:lineRule="auto"/>
        <w:ind w:left="540"/>
        <w:jc w:val="both"/>
        <w:rPr>
          <w:rFonts w:ascii="Book Antiqua" w:hAnsi="Book Antiqua"/>
          <w:sz w:val="24"/>
          <w:szCs w:val="24"/>
        </w:rPr>
      </w:pPr>
      <w:r>
        <w:rPr>
          <w:rFonts w:ascii="Book Antiqua" w:hAnsi="Book Antiqua"/>
          <w:sz w:val="24"/>
          <w:szCs w:val="24"/>
        </w:rPr>
        <w:t>Using a suitable illustration how</w:t>
      </w:r>
      <w:r>
        <w:rPr>
          <w:rFonts w:ascii="Book Antiqua" w:hAnsi="Book Antiqua"/>
          <w:b/>
          <w:sz w:val="24"/>
          <w:szCs w:val="24"/>
        </w:rPr>
        <w:t xml:space="preserve"> </w:t>
      </w:r>
      <w:r>
        <w:rPr>
          <w:rFonts w:ascii="Book Antiqua" w:hAnsi="Book Antiqua"/>
          <w:sz w:val="24"/>
          <w:szCs w:val="24"/>
        </w:rPr>
        <w:t xml:space="preserve">products life cycle is extended through closed loop supply chains  </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b/>
          <w:sz w:val="24"/>
          <w:szCs w:val="24"/>
        </w:rPr>
        <w:t>(8 marks).</w:t>
      </w:r>
    </w:p>
    <w:p w:rsidR="00E04699" w:rsidRDefault="009D2CEF">
      <w:pPr>
        <w:pStyle w:val="ListParagraph"/>
        <w:numPr>
          <w:ilvl w:val="0"/>
          <w:numId w:val="1"/>
        </w:numPr>
        <w:spacing w:after="200" w:line="276" w:lineRule="auto"/>
        <w:ind w:left="540"/>
        <w:jc w:val="both"/>
        <w:rPr>
          <w:rFonts w:ascii="Book Antiqua" w:hAnsi="Book Antiqua"/>
          <w:sz w:val="24"/>
          <w:szCs w:val="24"/>
        </w:rPr>
      </w:pPr>
      <w:r>
        <w:rPr>
          <w:rFonts w:ascii="Book Antiqua" w:hAnsi="Book Antiqua"/>
          <w:sz w:val="24"/>
          <w:szCs w:val="24"/>
        </w:rPr>
        <w:t xml:space="preserve">Apply </w:t>
      </w:r>
      <w:r>
        <w:rPr>
          <w:rFonts w:ascii="Book Antiqua" w:hAnsi="Book Antiqua"/>
          <w:sz w:val="24"/>
          <w:szCs w:val="24"/>
        </w:rPr>
        <w:t xml:space="preserve">the </w:t>
      </w:r>
      <w:r>
        <w:rPr>
          <w:rFonts w:ascii="Book Antiqua" w:hAnsi="Book Antiqua"/>
          <w:b/>
          <w:sz w:val="24"/>
          <w:szCs w:val="24"/>
        </w:rPr>
        <w:t xml:space="preserve">triple bottom dimensions </w:t>
      </w:r>
      <w:r>
        <w:rPr>
          <w:rFonts w:ascii="Book Antiqua" w:hAnsi="Book Antiqua"/>
          <w:sz w:val="24"/>
          <w:szCs w:val="24"/>
        </w:rPr>
        <w:t>used in sustainable development to inform Dell’s Case closed loop supply chain supply chain</w:t>
      </w:r>
      <w:r>
        <w:rPr>
          <w:rFonts w:ascii="Book Antiqua" w:hAnsi="Book Antiqua"/>
          <w:b/>
          <w:sz w:val="24"/>
          <w:szCs w:val="24"/>
          <w:lang w:val="en-GB"/>
        </w:rPr>
        <w:t xml:space="preserve"> </w:t>
      </w:r>
      <w:r>
        <w:rPr>
          <w:rFonts w:ascii="Book Antiqua" w:hAnsi="Book Antiqua"/>
          <w:b/>
          <w:sz w:val="24"/>
          <w:szCs w:val="24"/>
          <w:lang w:val="en-GB"/>
        </w:rPr>
        <w:tab/>
      </w:r>
      <w:r>
        <w:rPr>
          <w:rFonts w:ascii="Book Antiqua" w:hAnsi="Book Antiqua"/>
          <w:b/>
          <w:sz w:val="24"/>
          <w:szCs w:val="24"/>
          <w:lang w:val="en-GB"/>
        </w:rPr>
        <w:tab/>
      </w:r>
      <w:r>
        <w:rPr>
          <w:rFonts w:ascii="Book Antiqua" w:hAnsi="Book Antiqua"/>
          <w:b/>
          <w:sz w:val="24"/>
          <w:szCs w:val="24"/>
          <w:lang w:val="en-GB"/>
        </w:rPr>
        <w:tab/>
        <w:t>(6 Marks).</w:t>
      </w:r>
    </w:p>
    <w:p w:rsidR="00E04699" w:rsidRDefault="00E04699">
      <w:pPr>
        <w:pStyle w:val="ListParagraph"/>
        <w:spacing w:after="200" w:line="276" w:lineRule="auto"/>
        <w:ind w:left="540"/>
        <w:jc w:val="both"/>
        <w:rPr>
          <w:rFonts w:ascii="Book Antiqua" w:hAnsi="Book Antiqua"/>
          <w:sz w:val="24"/>
          <w:szCs w:val="24"/>
        </w:rPr>
      </w:pPr>
    </w:p>
    <w:p w:rsidR="00E04699" w:rsidRDefault="009D2CEF">
      <w:pPr>
        <w:pStyle w:val="ListParagraph"/>
        <w:numPr>
          <w:ilvl w:val="0"/>
          <w:numId w:val="1"/>
        </w:numPr>
        <w:spacing w:after="200" w:line="276" w:lineRule="auto"/>
        <w:ind w:left="540"/>
        <w:jc w:val="both"/>
        <w:rPr>
          <w:rFonts w:ascii="Book Antiqua" w:hAnsi="Book Antiqua"/>
          <w:sz w:val="24"/>
          <w:szCs w:val="24"/>
        </w:rPr>
      </w:pPr>
      <w:r>
        <w:rPr>
          <w:rFonts w:ascii="Book Antiqua" w:hAnsi="Book Antiqua" w:cs="Times New Roman"/>
        </w:rPr>
        <w:t>“The tech giant Dell is making steps towards a more "circular" supply chain.” Using the principles of circular economy d</w:t>
      </w:r>
      <w:r>
        <w:rPr>
          <w:rFonts w:ascii="Book Antiqua" w:hAnsi="Book Antiqua" w:cs="Times New Roman"/>
        </w:rPr>
        <w:t xml:space="preserve">iscuss the above steps can be achieved by Dell     </w:t>
      </w:r>
      <w:r>
        <w:rPr>
          <w:rFonts w:ascii="Book Antiqua" w:hAnsi="Book Antiqua"/>
          <w:b/>
          <w:sz w:val="24"/>
          <w:szCs w:val="24"/>
          <w:lang w:val="en-GB"/>
        </w:rPr>
        <w:t>(6 Marks).</w:t>
      </w:r>
    </w:p>
    <w:p w:rsidR="00E04699" w:rsidRDefault="009D2CEF">
      <w:pPr>
        <w:spacing w:after="0" w:line="480" w:lineRule="auto"/>
        <w:rPr>
          <w:rFonts w:ascii="Book Antiqua" w:hAnsi="Book Antiqua"/>
          <w:b/>
          <w:sz w:val="24"/>
          <w:szCs w:val="24"/>
        </w:rPr>
      </w:pPr>
      <w:r>
        <w:rPr>
          <w:rFonts w:ascii="Book Antiqua" w:hAnsi="Book Antiqua"/>
          <w:b/>
          <w:sz w:val="24"/>
          <w:szCs w:val="24"/>
        </w:rPr>
        <w:lastRenderedPageBreak/>
        <w:t>QUESTION TWO:</w:t>
      </w:r>
    </w:p>
    <w:p w:rsidR="00E04699" w:rsidRDefault="009D2CEF">
      <w:pPr>
        <w:pStyle w:val="NoSpacing"/>
        <w:numPr>
          <w:ilvl w:val="0"/>
          <w:numId w:val="2"/>
        </w:numPr>
        <w:ind w:left="1020"/>
        <w:jc w:val="both"/>
        <w:outlineLvl w:val="0"/>
        <w:rPr>
          <w:rFonts w:ascii="Book Antiqua" w:hAnsi="Book Antiqua"/>
          <w:b/>
          <w:bCs/>
          <w:color w:val="000000"/>
          <w:sz w:val="24"/>
          <w:szCs w:val="24"/>
        </w:rPr>
      </w:pPr>
      <w:r>
        <w:rPr>
          <w:rFonts w:ascii="Book Antiqua" w:hAnsi="Book Antiqua"/>
          <w:color w:val="000000"/>
          <w:sz w:val="24"/>
          <w:szCs w:val="24"/>
        </w:rPr>
        <w:t>Distinguish FIVE (5) characteristics between direct logistics and reverse logistics</w:t>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t xml:space="preserve"> </w:t>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b/>
          <w:color w:val="000000"/>
          <w:sz w:val="24"/>
          <w:szCs w:val="24"/>
        </w:rPr>
        <w:t>(10</w:t>
      </w:r>
      <w:r>
        <w:rPr>
          <w:rFonts w:ascii="Book Antiqua" w:hAnsi="Book Antiqua"/>
          <w:b/>
          <w:bCs/>
          <w:color w:val="000000"/>
          <w:sz w:val="24"/>
          <w:szCs w:val="24"/>
        </w:rPr>
        <w:t xml:space="preserve"> marks)</w:t>
      </w:r>
    </w:p>
    <w:p w:rsidR="00E04699" w:rsidRDefault="00E04699">
      <w:pPr>
        <w:pStyle w:val="NoSpacing"/>
        <w:ind w:left="1110"/>
        <w:jc w:val="both"/>
        <w:outlineLvl w:val="0"/>
        <w:rPr>
          <w:rFonts w:ascii="Book Antiqua" w:hAnsi="Book Antiqua"/>
          <w:b/>
          <w:bCs/>
          <w:color w:val="000000"/>
          <w:sz w:val="24"/>
          <w:szCs w:val="24"/>
        </w:rPr>
      </w:pPr>
    </w:p>
    <w:p w:rsidR="00E04699" w:rsidRDefault="009D2CEF">
      <w:pPr>
        <w:pStyle w:val="NoSpacing"/>
        <w:numPr>
          <w:ilvl w:val="0"/>
          <w:numId w:val="2"/>
        </w:numPr>
        <w:ind w:left="1020"/>
        <w:jc w:val="both"/>
        <w:outlineLvl w:val="0"/>
        <w:rPr>
          <w:rFonts w:ascii="Book Antiqua" w:hAnsi="Book Antiqua"/>
          <w:color w:val="000000"/>
          <w:sz w:val="24"/>
          <w:szCs w:val="24"/>
        </w:rPr>
      </w:pPr>
      <w:r>
        <w:rPr>
          <w:rFonts w:ascii="Book Antiqua" w:hAnsi="Book Antiqua"/>
          <w:color w:val="000000"/>
          <w:sz w:val="24"/>
          <w:szCs w:val="24"/>
        </w:rPr>
        <w:t>Examine the effect of Corporate Social Responsibility (CSR) in promotion of</w:t>
      </w:r>
      <w:r>
        <w:rPr>
          <w:rFonts w:ascii="Book Antiqua" w:hAnsi="Book Antiqua"/>
          <w:color w:val="000000"/>
          <w:sz w:val="24"/>
          <w:szCs w:val="24"/>
        </w:rPr>
        <w:t xml:space="preserve"> good governance among supply chains members.</w:t>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b/>
          <w:bCs/>
          <w:color w:val="000000"/>
          <w:sz w:val="24"/>
          <w:szCs w:val="24"/>
        </w:rPr>
        <w:t xml:space="preserve">(10 marks) </w:t>
      </w:r>
    </w:p>
    <w:p w:rsidR="00E04699" w:rsidRDefault="00E04699">
      <w:pPr>
        <w:pStyle w:val="NoSpacing"/>
        <w:jc w:val="both"/>
        <w:outlineLvl w:val="0"/>
        <w:rPr>
          <w:rFonts w:ascii="Book Antiqua" w:hAnsi="Book Antiqua"/>
          <w:color w:val="000000"/>
          <w:sz w:val="24"/>
          <w:szCs w:val="24"/>
        </w:rPr>
      </w:pPr>
    </w:p>
    <w:p w:rsidR="00E04699" w:rsidRDefault="009D2CEF">
      <w:pPr>
        <w:spacing w:after="0" w:line="480" w:lineRule="auto"/>
        <w:rPr>
          <w:rFonts w:ascii="Book Antiqua" w:hAnsi="Book Antiqua"/>
          <w:b/>
          <w:sz w:val="24"/>
          <w:szCs w:val="24"/>
        </w:rPr>
      </w:pPr>
      <w:r>
        <w:rPr>
          <w:rFonts w:ascii="Book Antiqua" w:hAnsi="Book Antiqua"/>
          <w:b/>
          <w:sz w:val="24"/>
          <w:szCs w:val="24"/>
        </w:rPr>
        <w:t>QUESTION THREE:</w:t>
      </w:r>
    </w:p>
    <w:p w:rsidR="00E04699" w:rsidRDefault="009D2CEF">
      <w:pPr>
        <w:pStyle w:val="ListParagraph"/>
        <w:numPr>
          <w:ilvl w:val="0"/>
          <w:numId w:val="3"/>
        </w:numPr>
        <w:spacing w:after="200" w:line="276" w:lineRule="auto"/>
        <w:jc w:val="both"/>
        <w:rPr>
          <w:rFonts w:ascii="Book Antiqua" w:hAnsi="Book Antiqua"/>
          <w:sz w:val="24"/>
          <w:szCs w:val="24"/>
        </w:rPr>
      </w:pPr>
      <w:r>
        <w:rPr>
          <w:rFonts w:ascii="Book Antiqua" w:hAnsi="Book Antiqua"/>
          <w:color w:val="000000"/>
          <w:sz w:val="24"/>
          <w:szCs w:val="24"/>
        </w:rPr>
        <w:t>Briefly discuss FIVE (5) wastes and their effect to sustainability as identified in production and operations management (POM).</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b/>
          <w:sz w:val="24"/>
          <w:szCs w:val="24"/>
        </w:rPr>
        <w:t>(10 marks).</w:t>
      </w:r>
    </w:p>
    <w:p w:rsidR="00E04699" w:rsidRDefault="00E04699">
      <w:pPr>
        <w:pStyle w:val="ListParagraph"/>
        <w:spacing w:after="200" w:line="276" w:lineRule="auto"/>
        <w:jc w:val="both"/>
        <w:rPr>
          <w:rFonts w:ascii="Book Antiqua" w:hAnsi="Book Antiqua"/>
          <w:sz w:val="24"/>
          <w:szCs w:val="24"/>
        </w:rPr>
      </w:pPr>
    </w:p>
    <w:p w:rsidR="00E04699" w:rsidRDefault="009D2CEF">
      <w:pPr>
        <w:pStyle w:val="ListParagraph"/>
        <w:numPr>
          <w:ilvl w:val="0"/>
          <w:numId w:val="3"/>
        </w:numPr>
        <w:suppressAutoHyphens/>
        <w:spacing w:after="200" w:line="276" w:lineRule="auto"/>
        <w:rPr>
          <w:rFonts w:ascii="Book Antiqua" w:hAnsi="Book Antiqua"/>
          <w:sz w:val="24"/>
          <w:szCs w:val="24"/>
        </w:rPr>
      </w:pPr>
      <w:r>
        <w:rPr>
          <w:rFonts w:ascii="Book Antiqua" w:hAnsi="Book Antiqua"/>
          <w:color w:val="000000"/>
          <w:sz w:val="24"/>
          <w:szCs w:val="24"/>
        </w:rPr>
        <w:t xml:space="preserve">Elaborate FIVE (5) areas that have been adopted by the Kenyan Public Sector Public in line with Procurement and Disposal Act of 2005 in promotion sustainable development </w:t>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b/>
          <w:sz w:val="24"/>
          <w:szCs w:val="24"/>
        </w:rPr>
        <w:t>(10 marks).</w:t>
      </w:r>
    </w:p>
    <w:p w:rsidR="00E04699" w:rsidRDefault="009D2CEF">
      <w:pPr>
        <w:spacing w:after="0" w:line="480" w:lineRule="auto"/>
        <w:rPr>
          <w:rFonts w:ascii="Book Antiqua" w:hAnsi="Book Antiqua"/>
          <w:b/>
          <w:sz w:val="24"/>
          <w:szCs w:val="24"/>
        </w:rPr>
      </w:pPr>
      <w:r>
        <w:rPr>
          <w:rFonts w:ascii="Book Antiqua" w:hAnsi="Book Antiqua"/>
          <w:b/>
          <w:sz w:val="24"/>
          <w:szCs w:val="24"/>
        </w:rPr>
        <w:t>QUESTION FOUR:</w:t>
      </w:r>
    </w:p>
    <w:p w:rsidR="00E04699" w:rsidRDefault="009D2CEF">
      <w:pPr>
        <w:pStyle w:val="ListParagraph"/>
        <w:numPr>
          <w:ilvl w:val="0"/>
          <w:numId w:val="4"/>
        </w:numPr>
        <w:spacing w:after="0" w:line="254" w:lineRule="auto"/>
        <w:jc w:val="both"/>
        <w:rPr>
          <w:rFonts w:ascii="Book Antiqua" w:hAnsi="Book Antiqua"/>
          <w:sz w:val="24"/>
          <w:szCs w:val="24"/>
        </w:rPr>
      </w:pPr>
      <w:r>
        <w:rPr>
          <w:rFonts w:ascii="Book Antiqua" w:hAnsi="Book Antiqua"/>
          <w:bCs/>
          <w:sz w:val="24"/>
          <w:szCs w:val="24"/>
        </w:rPr>
        <w:t>Critically examine how value chain management in man</w:t>
      </w:r>
      <w:r>
        <w:rPr>
          <w:rFonts w:ascii="Book Antiqua" w:hAnsi="Book Antiqua"/>
          <w:bCs/>
          <w:sz w:val="24"/>
          <w:szCs w:val="24"/>
        </w:rPr>
        <w:t xml:space="preserve">ufacturing sector can help deliver United Nations Sustainable Development Goals (SDGs) in the manufacturing sector </w:t>
      </w:r>
      <w:r>
        <w:rPr>
          <w:rFonts w:ascii="Book Antiqua" w:hAnsi="Book Antiqua"/>
          <w:bCs/>
          <w:sz w:val="24"/>
          <w:szCs w:val="24"/>
        </w:rPr>
        <w:tab/>
      </w:r>
      <w:r>
        <w:rPr>
          <w:rFonts w:ascii="Book Antiqua" w:hAnsi="Book Antiqua"/>
          <w:bCs/>
          <w:sz w:val="24"/>
          <w:szCs w:val="24"/>
        </w:rPr>
        <w:tab/>
      </w:r>
      <w:r>
        <w:rPr>
          <w:rFonts w:ascii="Book Antiqua" w:hAnsi="Book Antiqua"/>
          <w:bCs/>
          <w:sz w:val="24"/>
          <w:szCs w:val="24"/>
        </w:rPr>
        <w:tab/>
      </w:r>
      <w:r>
        <w:rPr>
          <w:rFonts w:ascii="Book Antiqua" w:hAnsi="Book Antiqua"/>
          <w:bCs/>
          <w:sz w:val="24"/>
          <w:szCs w:val="24"/>
        </w:rPr>
        <w:tab/>
      </w:r>
      <w:r>
        <w:rPr>
          <w:rFonts w:ascii="Book Antiqua" w:hAnsi="Book Antiqua"/>
          <w:bCs/>
          <w:sz w:val="24"/>
          <w:szCs w:val="24"/>
        </w:rPr>
        <w:tab/>
      </w:r>
      <w:r>
        <w:rPr>
          <w:rFonts w:ascii="Book Antiqua" w:hAnsi="Book Antiqua"/>
          <w:bCs/>
          <w:sz w:val="24"/>
          <w:szCs w:val="24"/>
        </w:rPr>
        <w:tab/>
      </w:r>
      <w:r>
        <w:rPr>
          <w:rFonts w:ascii="Book Antiqua" w:hAnsi="Book Antiqua"/>
          <w:bCs/>
          <w:sz w:val="24"/>
          <w:szCs w:val="24"/>
        </w:rPr>
        <w:tab/>
      </w:r>
      <w:r>
        <w:rPr>
          <w:rFonts w:ascii="Book Antiqua" w:hAnsi="Book Antiqua"/>
          <w:b/>
          <w:bCs/>
          <w:sz w:val="24"/>
          <w:szCs w:val="24"/>
        </w:rPr>
        <w:t>(10 marks).</w:t>
      </w:r>
      <w:r>
        <w:rPr>
          <w:rFonts w:ascii="Book Antiqua" w:hAnsi="Book Antiqua"/>
          <w:bCs/>
          <w:sz w:val="24"/>
          <w:szCs w:val="24"/>
        </w:rPr>
        <w:t xml:space="preserve">  </w:t>
      </w:r>
    </w:p>
    <w:p w:rsidR="00E04699" w:rsidRDefault="00E04699">
      <w:pPr>
        <w:pStyle w:val="ListParagraph"/>
        <w:spacing w:after="0"/>
        <w:ind w:left="1260"/>
        <w:jc w:val="both"/>
        <w:rPr>
          <w:rFonts w:ascii="Book Antiqua" w:hAnsi="Book Antiqua"/>
          <w:sz w:val="24"/>
          <w:szCs w:val="24"/>
        </w:rPr>
      </w:pPr>
    </w:p>
    <w:p w:rsidR="00E04699" w:rsidRDefault="009D2CEF">
      <w:pPr>
        <w:pStyle w:val="ListParagraph"/>
        <w:numPr>
          <w:ilvl w:val="0"/>
          <w:numId w:val="4"/>
        </w:numPr>
        <w:spacing w:after="0" w:line="254" w:lineRule="auto"/>
        <w:jc w:val="both"/>
        <w:rPr>
          <w:rFonts w:ascii="Book Antiqua" w:hAnsi="Book Antiqua"/>
          <w:sz w:val="24"/>
          <w:szCs w:val="24"/>
        </w:rPr>
      </w:pPr>
      <w:r>
        <w:rPr>
          <w:rFonts w:ascii="Book Antiqua" w:hAnsi="Book Antiqua"/>
          <w:color w:val="000000"/>
          <w:sz w:val="24"/>
          <w:szCs w:val="24"/>
        </w:rPr>
        <w:t xml:space="preserve">Distinguish FIVE (5) characteristics between Lean and agile supply chains as applied in manufacturing flexibilities </w:t>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color w:val="000000"/>
          <w:sz w:val="24"/>
          <w:szCs w:val="24"/>
        </w:rPr>
        <w:tab/>
      </w:r>
      <w:r>
        <w:rPr>
          <w:rFonts w:ascii="Book Antiqua" w:hAnsi="Book Antiqua"/>
          <w:b/>
          <w:bCs/>
          <w:sz w:val="24"/>
          <w:szCs w:val="24"/>
        </w:rPr>
        <w:t>(10 marks).</w:t>
      </w:r>
      <w:r>
        <w:rPr>
          <w:rFonts w:ascii="Book Antiqua" w:hAnsi="Book Antiqua"/>
          <w:bCs/>
          <w:sz w:val="24"/>
          <w:szCs w:val="24"/>
        </w:rPr>
        <w:t xml:space="preserve">  </w:t>
      </w:r>
    </w:p>
    <w:p w:rsidR="00E04699" w:rsidRDefault="00E04699"/>
    <w:bookmarkEnd w:id="0"/>
    <w:p w:rsidR="00E04699" w:rsidRDefault="00E04699"/>
    <w:p w:rsidR="00E04699" w:rsidRDefault="00E04699"/>
    <w:p w:rsidR="00E04699" w:rsidRDefault="00E04699"/>
    <w:sectPr w:rsidR="00E0469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2CEF" w:rsidRDefault="009D2CEF">
      <w:pPr>
        <w:spacing w:line="240" w:lineRule="auto"/>
      </w:pPr>
      <w:r>
        <w:separator/>
      </w:r>
    </w:p>
  </w:endnote>
  <w:endnote w:type="continuationSeparator" w:id="0">
    <w:p w:rsidR="009D2CEF" w:rsidRDefault="009D2C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jaVu Sans">
    <w:altName w:val="Times New Roman"/>
    <w:charset w:val="00"/>
    <w:family w:val="auto"/>
    <w:pitch w:val="default"/>
  </w:font>
  <w:font w:name="font288">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7121713"/>
      <w:docPartObj>
        <w:docPartGallery w:val="AutoText"/>
      </w:docPartObj>
    </w:sdtPr>
    <w:sdtEndPr/>
    <w:sdtContent>
      <w:sdt>
        <w:sdtPr>
          <w:id w:val="1728636285"/>
          <w:docPartObj>
            <w:docPartGallery w:val="AutoText"/>
          </w:docPartObj>
        </w:sdtPr>
        <w:sdtEndPr/>
        <w:sdtContent>
          <w:p w:rsidR="00E04699" w:rsidRDefault="009D2CE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936C2">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936C2">
              <w:rPr>
                <w:b/>
                <w:bCs/>
                <w:noProof/>
              </w:rPr>
              <w:t>5</w:t>
            </w:r>
            <w:r>
              <w:rPr>
                <w:b/>
                <w:bCs/>
                <w:sz w:val="24"/>
                <w:szCs w:val="24"/>
              </w:rPr>
              <w:fldChar w:fldCharType="end"/>
            </w:r>
          </w:p>
        </w:sdtContent>
      </w:sdt>
    </w:sdtContent>
  </w:sdt>
  <w:p w:rsidR="00E04699" w:rsidRDefault="00E046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2CEF" w:rsidRDefault="009D2CEF">
      <w:pPr>
        <w:spacing w:after="0"/>
      </w:pPr>
      <w:r>
        <w:separator/>
      </w:r>
    </w:p>
  </w:footnote>
  <w:footnote w:type="continuationSeparator" w:id="0">
    <w:p w:rsidR="009D2CEF" w:rsidRDefault="009D2CE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A25F59"/>
    <w:multiLevelType w:val="multilevel"/>
    <w:tmpl w:val="13A25F59"/>
    <w:lvl w:ilvl="0">
      <w:start w:val="1"/>
      <w:numFmt w:val="lowerLetter"/>
      <w:lvlText w:val="(%1)"/>
      <w:lvlJc w:val="left"/>
      <w:pPr>
        <w:ind w:left="1110" w:hanging="75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3FB6557"/>
    <w:multiLevelType w:val="multilevel"/>
    <w:tmpl w:val="33FB655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AE37841"/>
    <w:multiLevelType w:val="multilevel"/>
    <w:tmpl w:val="5B1C9816"/>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3">
    <w:nsid w:val="5BB3290D"/>
    <w:multiLevelType w:val="multilevel"/>
    <w:tmpl w:val="5BB3290D"/>
    <w:lvl w:ilvl="0">
      <w:start w:val="1"/>
      <w:numFmt w:val="lowerLetter"/>
      <w:lvlText w:val="%1)"/>
      <w:lvlJc w:val="left"/>
      <w:pPr>
        <w:ind w:left="450" w:hanging="360"/>
      </w:p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4">
    <w:nsid w:val="6BF90AE3"/>
    <w:multiLevelType w:val="multilevel"/>
    <w:tmpl w:val="6BF90AE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4"/>
  </w:num>
  <w:num w:numId="5">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874"/>
    <w:rsid w:val="00013AD8"/>
    <w:rsid w:val="000448BF"/>
    <w:rsid w:val="001D47CD"/>
    <w:rsid w:val="002521A4"/>
    <w:rsid w:val="0026326E"/>
    <w:rsid w:val="0037191C"/>
    <w:rsid w:val="003936C2"/>
    <w:rsid w:val="004126AE"/>
    <w:rsid w:val="00476BFA"/>
    <w:rsid w:val="006A129A"/>
    <w:rsid w:val="006F4E25"/>
    <w:rsid w:val="007720DA"/>
    <w:rsid w:val="007E75B1"/>
    <w:rsid w:val="00825874"/>
    <w:rsid w:val="00885ACF"/>
    <w:rsid w:val="0095171B"/>
    <w:rsid w:val="009D2CEF"/>
    <w:rsid w:val="00E04699"/>
    <w:rsid w:val="00EC3CDD"/>
    <w:rsid w:val="00F15872"/>
    <w:rsid w:val="00FE5053"/>
    <w:rsid w:val="3F876979"/>
    <w:rsid w:val="62F66A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C4012D-FF42-4C09-81A1-FDE2B97EA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paragraph" w:styleId="NoSpacing">
    <w:name w:val="No Spacing"/>
    <w:uiPriority w:val="1"/>
    <w:qFormat/>
    <w:pPr>
      <w:suppressAutoHyphens/>
      <w:spacing w:line="100" w:lineRule="atLeast"/>
    </w:pPr>
    <w:rPr>
      <w:rFonts w:ascii="Calibri" w:eastAsia="DejaVu Sans" w:hAnsi="Calibri" w:cs="font288"/>
      <w:kern w:val="1"/>
      <w:sz w:val="22"/>
      <w:szCs w:val="22"/>
      <w:lang w:eastAsia="ar-SA"/>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1546</Words>
  <Characters>8814</Characters>
  <Application>Microsoft Office Word</Application>
  <DocSecurity>0</DocSecurity>
  <Lines>73</Lines>
  <Paragraphs>20</Paragraphs>
  <ScaleCrop>false</ScaleCrop>
  <Company/>
  <LinksUpToDate>false</LinksUpToDate>
  <CharactersWithSpaces>10340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Kang'ethe Gachukia</dc:creator>
  <cp:lastModifiedBy>Hillary Ochieng</cp:lastModifiedBy>
  <cp:revision>3</cp:revision>
  <dcterms:created xsi:type="dcterms:W3CDTF">2024-10-15T12:37:00Z</dcterms:created>
  <dcterms:modified xsi:type="dcterms:W3CDTF">2024-11-26T13:04:00Z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A3D35ACFE6F4491BBFA32656B3240287_13</vt:lpwstr>
  </property>
</Properties>
</file>