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8CB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bookmarkStart w:id="1" w:name="_GoBack"/>
      <w:bookmarkEnd w:id="1"/>
      <w:bookmarkStart w:id="0" w:name="_Hlk116777288"/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B327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07C22412">
      <w:pPr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3AEEB3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2B7512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January –April 2026 TRIMESTER </w:t>
      </w:r>
    </w:p>
    <w:p w14:paraId="460557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14:paraId="39FBC2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>FULL-TIME PROGRAMME</w:t>
      </w:r>
    </w:p>
    <w:bookmarkEnd w:id="0"/>
    <w:p w14:paraId="0FF66F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RBIR 7428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: CONTEMPORARY DIPLOMATIC LAW AND PRACTICE </w:t>
      </w:r>
    </w:p>
    <w:p w14:paraId="1516EC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>13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vertAlign w:val="superscript"/>
          <w:lang w:val="en-US" w:eastAsia="zh-CN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>APRIL 2026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           TIME: 2 HOURS</w:t>
      </w:r>
    </w:p>
    <w:p w14:paraId="7ABE2B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C85F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6B6BE2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24D12A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76A5CB7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16738C2F">
      <w:pPr>
        <w:pStyle w:val="6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69D5A749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447F8EE9">
      <w:pPr>
        <w:pStyle w:val="6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14:paraId="6C9A4FFE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6FBAAD2">
      <w:pPr>
        <w:pStyle w:val="6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2FD53BB1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225FC374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4ED9FDED">
      <w:pPr>
        <w:pStyle w:val="6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1BEF3D33">
      <w:pPr>
        <w:pStyle w:val="6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14:paraId="440B87AC">
      <w:pPr>
        <w:pStyle w:val="6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0490B5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SECTION A: COMPULSORY – ANSWER ALL QUESTIONS (30 MARKS)</w:t>
      </w:r>
    </w:p>
    <w:p w14:paraId="2D6610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03E3FA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ONE</w:t>
      </w:r>
    </w:p>
    <w:p w14:paraId="3C63D3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3EC862D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Define the following terms as used in diplomatic and consular law, and give one practical example for each.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15F12A14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i) Diplomacy</w:t>
      </w:r>
    </w:p>
    <w:p w14:paraId="2791F6B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ii) Customary international law</w:t>
      </w:r>
    </w:p>
    <w:p w14:paraId="62E9D55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iii) Agreement</w:t>
      </w:r>
    </w:p>
    <w:p w14:paraId="02CF16AA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iv) Diplomatic immunity</w:t>
      </w:r>
    </w:p>
    <w:p w14:paraId="7C14AA9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v) Consular protection </w:t>
      </w:r>
    </w:p>
    <w:p w14:paraId="690AA5D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With reference to both historical and African contexts, discuss how diplomacy evolved from ad hoc envoys to permanent diplomatic missions.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399E033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Using relevant examples, explain why African states rely heavily on multilateral diplomacy in managing political, economic, and security challenges.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</w:t>
      </w:r>
    </w:p>
    <w:p w14:paraId="6868B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</w:p>
    <w:p w14:paraId="383041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SECTION B: ANSWER ANY TWO QUESTIONS FROM THIS SECTION (40 MARKS)</w:t>
      </w:r>
    </w:p>
    <w:p w14:paraId="67257C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529409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QUESTION TWO</w:t>
      </w:r>
    </w:p>
    <w:p w14:paraId="3409AB4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Examine the </w:t>
      </w:r>
      <w:r>
        <w:rPr>
          <w:rFonts w:ascii="Times New Roman" w:hAnsi="Times New Roman" w:eastAsia="Calibri" w:cs="Times New Roman"/>
          <w:bCs/>
          <w:sz w:val="24"/>
          <w:szCs w:val="24"/>
        </w:rPr>
        <w:t>key contributions of the Congress of Vienna (1815)</w:t>
      </w:r>
      <w:r>
        <w:rPr>
          <w:rFonts w:ascii="Times New Roman" w:hAnsi="Times New Roman" w:eastAsia="Calibri" w:cs="Times New Roman"/>
          <w:sz w:val="24"/>
          <w:szCs w:val="24"/>
        </w:rPr>
        <w:t xml:space="preserve"> to the development of modern diplomatic law. </w:t>
      </w:r>
      <w:r>
        <w:rPr>
          <w:rFonts w:hint="default" w:ascii="Times New Roman" w:hAnsi="Times New Roman" w:eastAsia="Calibri" w:cs="Times New Roman"/>
          <w:b/>
          <w:i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/>
          <w:i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/>
          <w:i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/>
          <w:i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/>
          <w:i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/>
          <w:i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/>
          <w:i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/>
          <w:iCs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10 marks)</w:t>
      </w:r>
    </w:p>
    <w:p w14:paraId="5042E2B3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Assess the </w:t>
      </w:r>
      <w:r>
        <w:rPr>
          <w:rFonts w:ascii="Times New Roman" w:hAnsi="Times New Roman" w:eastAsia="Calibri" w:cs="Times New Roman"/>
          <w:bCs/>
          <w:sz w:val="24"/>
          <w:szCs w:val="24"/>
        </w:rPr>
        <w:t>long-term relevance of the Vienna system</w:t>
      </w:r>
      <w:r>
        <w:rPr>
          <w:rFonts w:ascii="Times New Roman" w:hAnsi="Times New Roman" w:eastAsia="Calibri" w:cs="Times New Roman"/>
          <w:sz w:val="24"/>
          <w:szCs w:val="24"/>
        </w:rPr>
        <w:t xml:space="preserve"> in contemporary diplomatic practice, including examples from Africa.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(10 marks)</w:t>
      </w:r>
    </w:p>
    <w:p w14:paraId="6EF2D7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460596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QUESTION THREE</w:t>
      </w:r>
    </w:p>
    <w:p w14:paraId="6480A80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Discuss the role of </w:t>
      </w:r>
      <w:r>
        <w:rPr>
          <w:rFonts w:ascii="Times New Roman" w:hAnsi="Times New Roman" w:eastAsia="Calibri" w:cs="Times New Roman"/>
          <w:bCs/>
          <w:sz w:val="24"/>
          <w:szCs w:val="24"/>
        </w:rPr>
        <w:t>treaties and customary international law</w:t>
      </w:r>
      <w:r>
        <w:rPr>
          <w:rFonts w:ascii="Times New Roman" w:hAnsi="Times New Roman" w:eastAsia="Calibri" w:cs="Times New Roman"/>
          <w:sz w:val="24"/>
          <w:szCs w:val="24"/>
        </w:rPr>
        <w:t xml:space="preserve"> in regulating diplomatic relations prior to the Vienna Convention on Diplomatic Relations (1961).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(10 marks)</w:t>
      </w:r>
    </w:p>
    <w:p w14:paraId="7E184DF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Evaluate the extent to which </w:t>
      </w:r>
      <w:r>
        <w:rPr>
          <w:rFonts w:ascii="Times New Roman" w:hAnsi="Times New Roman" w:eastAsia="Calibri" w:cs="Times New Roman"/>
          <w:bCs/>
          <w:sz w:val="24"/>
          <w:szCs w:val="24"/>
        </w:rPr>
        <w:t>customary international law remains relevant</w:t>
      </w:r>
      <w:r>
        <w:rPr>
          <w:rFonts w:ascii="Times New Roman" w:hAnsi="Times New Roman" w:eastAsia="Calibri" w:cs="Times New Roman"/>
          <w:sz w:val="24"/>
          <w:szCs w:val="24"/>
        </w:rPr>
        <w:t xml:space="preserve"> in the regulation of diplomatic relations today.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(10 marks)</w:t>
      </w:r>
    </w:p>
    <w:p w14:paraId="2B909F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38C360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06485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QUESTION FOUR</w:t>
      </w:r>
    </w:p>
    <w:p w14:paraId="58EC26DC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Critically analyze the </w:t>
      </w:r>
      <w:r>
        <w:rPr>
          <w:rFonts w:ascii="Times New Roman" w:hAnsi="Times New Roman" w:eastAsia="Calibri" w:cs="Times New Roman"/>
          <w:bCs/>
          <w:sz w:val="24"/>
          <w:szCs w:val="24"/>
        </w:rPr>
        <w:t>Vienna Convention on Diplomatic Relations (1961)</w:t>
      </w:r>
      <w:r>
        <w:rPr>
          <w:rFonts w:ascii="Times New Roman" w:hAnsi="Times New Roman" w:eastAsia="Calibri" w:cs="Times New Roman"/>
          <w:sz w:val="24"/>
          <w:szCs w:val="24"/>
        </w:rPr>
        <w:t xml:space="preserve"> as the cornerstone of diplomatic law.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(10 marks)</w:t>
      </w:r>
    </w:p>
    <w:p w14:paraId="130478B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Using examples from African state practice, discuss how </w:t>
      </w:r>
      <w:r>
        <w:rPr>
          <w:rFonts w:ascii="Times New Roman" w:hAnsi="Times New Roman" w:eastAsia="Calibri" w:cs="Times New Roman"/>
          <w:bCs/>
          <w:sz w:val="24"/>
          <w:szCs w:val="24"/>
        </w:rPr>
        <w:t>diplomatic privileges and immunities</w:t>
      </w:r>
      <w:r>
        <w:rPr>
          <w:rFonts w:ascii="Times New Roman" w:hAnsi="Times New Roman" w:eastAsia="Calibri" w:cs="Times New Roman"/>
          <w:sz w:val="24"/>
          <w:szCs w:val="24"/>
        </w:rPr>
        <w:t xml:space="preserve"> balance functional necessity with host-state sovereignty.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(10 marks)</w:t>
      </w:r>
    </w:p>
    <w:p w14:paraId="24BD66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01E212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QUESTION FIVE</w:t>
      </w:r>
    </w:p>
    <w:p w14:paraId="59DB7F3B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Explain the </w:t>
      </w:r>
      <w:r>
        <w:rPr>
          <w:rFonts w:ascii="Times New Roman" w:hAnsi="Times New Roman" w:eastAsia="Calibri" w:cs="Times New Roman"/>
          <w:bCs/>
          <w:sz w:val="24"/>
          <w:szCs w:val="24"/>
        </w:rPr>
        <w:t>legal process for establishing diplomatic relations and missions</w:t>
      </w:r>
      <w:r>
        <w:rPr>
          <w:rFonts w:ascii="Times New Roman" w:hAnsi="Times New Roman" w:eastAsia="Calibri" w:cs="Times New Roman"/>
          <w:sz w:val="24"/>
          <w:szCs w:val="24"/>
        </w:rPr>
        <w:t xml:space="preserve">, highlighting the role of consent, agrément, and accreditation.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(10 marks)</w:t>
      </w:r>
    </w:p>
    <w:p w14:paraId="1B6C2909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With reference to African practice, assess how </w:t>
      </w:r>
      <w:r>
        <w:rPr>
          <w:rFonts w:ascii="Times New Roman" w:hAnsi="Times New Roman" w:eastAsia="Calibri" w:cs="Times New Roman"/>
          <w:bCs/>
          <w:sz w:val="24"/>
          <w:szCs w:val="24"/>
        </w:rPr>
        <w:t>reciprocity</w:t>
      </w:r>
      <w:r>
        <w:rPr>
          <w:rFonts w:ascii="Times New Roman" w:hAnsi="Times New Roman" w:eastAsia="Calibri" w:cs="Times New Roman"/>
          <w:sz w:val="24"/>
          <w:szCs w:val="24"/>
        </w:rPr>
        <w:t xml:space="preserve"> shapes diplomatic relations between states.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(10 marks)</w:t>
      </w:r>
    </w:p>
    <w:p w14:paraId="7B2B8D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738CA9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QUESTION SIX</w:t>
      </w:r>
    </w:p>
    <w:p w14:paraId="7576F4F7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Discuss the </w:t>
      </w:r>
      <w:r>
        <w:rPr>
          <w:rFonts w:ascii="Times New Roman" w:hAnsi="Times New Roman" w:eastAsia="Calibri" w:cs="Times New Roman"/>
          <w:bCs/>
          <w:sz w:val="24"/>
          <w:szCs w:val="24"/>
        </w:rPr>
        <w:t>functions of diplomatic missions</w:t>
      </w:r>
      <w:r>
        <w:rPr>
          <w:rFonts w:ascii="Times New Roman" w:hAnsi="Times New Roman" w:eastAsia="Calibri" w:cs="Times New Roman"/>
          <w:sz w:val="24"/>
          <w:szCs w:val="24"/>
        </w:rPr>
        <w:t xml:space="preserve"> under Article 3 of the Vienna Convention on Diplomatic Relations (1961).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(10 marks)</w:t>
      </w:r>
    </w:p>
    <w:p w14:paraId="0B23358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Analyze the </w:t>
      </w:r>
      <w:r>
        <w:rPr>
          <w:rFonts w:ascii="Times New Roman" w:hAnsi="Times New Roman" w:eastAsia="Calibri" w:cs="Times New Roman"/>
          <w:bCs/>
          <w:sz w:val="24"/>
          <w:szCs w:val="24"/>
        </w:rPr>
        <w:t>principle of inviolability of diplomatic premises</w:t>
      </w:r>
      <w:r>
        <w:rPr>
          <w:rFonts w:ascii="Times New Roman" w:hAnsi="Times New Roman" w:eastAsia="Calibri" w:cs="Times New Roman"/>
          <w:sz w:val="24"/>
          <w:szCs w:val="24"/>
        </w:rPr>
        <w:t>, explaining why it is regarded as absolute under international law. Use at least one case example.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(10 marks)</w:t>
      </w:r>
    </w:p>
    <w:p w14:paraId="0BD13F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661BD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QUESTION SEVEN</w:t>
      </w:r>
    </w:p>
    <w:p w14:paraId="4FE3AB7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Distinguish between </w:t>
      </w:r>
      <w:r>
        <w:rPr>
          <w:rFonts w:ascii="Times New Roman" w:hAnsi="Times New Roman" w:eastAsia="Calibri" w:cs="Times New Roman"/>
          <w:bCs/>
          <w:sz w:val="24"/>
          <w:szCs w:val="24"/>
        </w:rPr>
        <w:t>diplomatic law and consular law</w:t>
      </w:r>
      <w:r>
        <w:rPr>
          <w:rFonts w:ascii="Times New Roman" w:hAnsi="Times New Roman" w:eastAsia="Calibri" w:cs="Times New Roman"/>
          <w:sz w:val="24"/>
          <w:szCs w:val="24"/>
        </w:rPr>
        <w:t xml:space="preserve">, focusing on functions and immunities.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(10 marks)</w:t>
      </w:r>
    </w:p>
    <w:p w14:paraId="25D2481B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Using African examples, examine how the </w:t>
      </w:r>
      <w:r>
        <w:rPr>
          <w:rFonts w:ascii="Times New Roman" w:hAnsi="Times New Roman" w:eastAsia="Calibri" w:cs="Times New Roman"/>
          <w:bCs/>
          <w:sz w:val="24"/>
          <w:szCs w:val="24"/>
        </w:rPr>
        <w:t>Vienna Convention on Consular Relations (1963)</w:t>
      </w:r>
      <w:r>
        <w:rPr>
          <w:rFonts w:ascii="Times New Roman" w:hAnsi="Times New Roman" w:eastAsia="Calibri" w:cs="Times New Roman"/>
          <w:sz w:val="24"/>
          <w:szCs w:val="24"/>
        </w:rPr>
        <w:t xml:space="preserve"> balances state sovereignty with the protection of foreign nationals.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iCs/>
          <w:sz w:val="24"/>
          <w:szCs w:val="24"/>
        </w:rPr>
        <w:t>(10 marks)</w:t>
      </w:r>
    </w:p>
    <w:p w14:paraId="6B9695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1225145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52D4D906">
            <w:pPr>
              <w:pStyle w:val="4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ABE7DB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24461B"/>
    <w:multiLevelType w:val="singleLevel"/>
    <w:tmpl w:val="A324461B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B0C994EF"/>
    <w:multiLevelType w:val="singleLevel"/>
    <w:tmpl w:val="B0C994EF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D0D0F848"/>
    <w:multiLevelType w:val="singleLevel"/>
    <w:tmpl w:val="D0D0F848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E94F554D"/>
    <w:multiLevelType w:val="singleLevel"/>
    <w:tmpl w:val="E94F554D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0B567B29"/>
    <w:multiLevelType w:val="singleLevel"/>
    <w:tmpl w:val="0B567B29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4C4A5777"/>
    <w:multiLevelType w:val="singleLevel"/>
    <w:tmpl w:val="4C4A577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51B8E654"/>
    <w:multiLevelType w:val="singleLevel"/>
    <w:tmpl w:val="51B8E654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3E"/>
    <w:rsid w:val="0039653E"/>
    <w:rsid w:val="00502290"/>
    <w:rsid w:val="00564C71"/>
    <w:rsid w:val="009333C0"/>
    <w:rsid w:val="00972E29"/>
    <w:rsid w:val="00B67076"/>
    <w:rsid w:val="00BC2F73"/>
    <w:rsid w:val="00C96F24"/>
    <w:rsid w:val="00CA6543"/>
    <w:rsid w:val="00D32870"/>
    <w:rsid w:val="00DD62F0"/>
    <w:rsid w:val="00E9508D"/>
    <w:rsid w:val="02F8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5">
    <w:name w:val="Footer Char"/>
    <w:basedOn w:val="2"/>
    <w:link w:val="4"/>
    <w:qFormat/>
    <w:uiPriority w:val="99"/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566</Words>
  <Characters>3227</Characters>
  <Lines>26</Lines>
  <Paragraphs>7</Paragraphs>
  <TotalTime>3</TotalTime>
  <ScaleCrop>false</ScaleCrop>
  <LinksUpToDate>false</LinksUpToDate>
  <CharactersWithSpaces>3786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2026-01-14T01:17:00Z</dcterms:created>
  <dc:creator>fatuma.sarah@outlook.com</dc:creator>
  <cp:lastModifiedBy>hochieng</cp:lastModifiedBy>
  <dcterms:modified xsi:type="dcterms:W3CDTF">2026-04-09T15:44:44Z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312cb783-d5cd-4c62-b4a4-5c0c5fa1f1f5</vt:lpwstr>
  </property>
  <property fmtid="{D5CDD505-2E9C-101B-9397-08002B2CF9AE}" pid="3" name="KSOProductBuildVer">
    <vt:lpwstr>1033-12.2.0.23196</vt:lpwstr>
  </property>
  <property fmtid="{D5CDD505-2E9C-101B-9397-08002B2CF9AE}" pid="4" name="ICV">
    <vt:lpwstr>4D7A97E619464E4F885F51246229675F_12</vt:lpwstr>
  </property>
</Properties>
</file>