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A"/>
        <w:jc w:val="center"/>
        <w:rPr>
          <w:sz w:val="28"/>
          <w:szCs w:val="28"/>
        </w:rPr>
      </w:pPr>
      <w:r>
        <w:rPr>
          <w:sz w:val="28"/>
          <w:szCs w:val="28"/>
        </w:rPr>
        <w:drawing xmlns:a="http://schemas.openxmlformats.org/drawingml/2006/main">
          <wp:inline distT="0" distB="0" distL="0" distR="0">
            <wp:extent cx="1584960" cy="1076960"/>
            <wp:effectExtent l="0" t="0" r="0" b="0"/>
            <wp:docPr id="1073741825" name="officeArt object" descr="RU LOGO PNG"/>
            <wp:cNvGraphicFramePr/>
            <a:graphic xmlns:a="http://schemas.openxmlformats.org/drawingml/2006/main">
              <a:graphicData uri="http://schemas.openxmlformats.org/drawingml/2006/picture">
                <pic:pic xmlns:pic="http://schemas.openxmlformats.org/drawingml/2006/picture">
                  <pic:nvPicPr>
                    <pic:cNvPr id="1073741825" name="RU LOGO PNG" descr="RU LOGO PNG"/>
                    <pic:cNvPicPr>
                      <a:picLocks noChangeAspect="1"/>
                    </pic:cNvPicPr>
                  </pic:nvPicPr>
                  <pic:blipFill>
                    <a:blip r:embed="rId4">
                      <a:extLst/>
                    </a:blip>
                    <a:stretch>
                      <a:fillRect/>
                    </a:stretch>
                  </pic:blipFill>
                  <pic:spPr>
                    <a:xfrm>
                      <a:off x="0" y="0"/>
                      <a:ext cx="1584960" cy="1076960"/>
                    </a:xfrm>
                    <a:prstGeom prst="rect">
                      <a:avLst/>
                    </a:prstGeom>
                    <a:ln w="12700" cap="flat">
                      <a:noFill/>
                      <a:miter lim="400000"/>
                    </a:ln>
                    <a:effectLst/>
                  </pic:spPr>
                </pic:pic>
              </a:graphicData>
            </a:graphic>
          </wp:inline>
        </w:drawing>
      </w:r>
    </w:p>
    <w:p>
      <w:pPr>
        <w:pStyle w:val="Heading"/>
        <w:spacing w:before="0"/>
        <w:jc w:val="center"/>
        <w:rPr>
          <w:rFonts w:ascii="Calibri" w:cs="Calibri" w:hAnsi="Calibri" w:eastAsia="Calibri"/>
          <w:outline w:val="0"/>
          <w:color w:val="000000"/>
          <w:sz w:val="24"/>
          <w:szCs w:val="24"/>
          <w:u w:color="000000"/>
          <w14:textFill>
            <w14:solidFill>
              <w14:srgbClr w14:val="000000"/>
            </w14:solidFill>
          </w14:textFill>
        </w:rPr>
      </w:pPr>
      <w:r>
        <w:rPr>
          <w:rFonts w:ascii="Calibri" w:hAnsi="Calibri"/>
          <w:outline w:val="0"/>
          <w:color w:val="000000"/>
          <w:sz w:val="24"/>
          <w:szCs w:val="24"/>
          <w:u w:color="000000"/>
          <w:rtl w:val="0"/>
          <w:lang w:val="de-DE"/>
          <w14:textFill>
            <w14:solidFill>
              <w14:srgbClr w14:val="000000"/>
            </w14:solidFill>
          </w14:textFill>
        </w:rPr>
        <w:t>RIARA LAW SCHOOL</w:t>
      </w:r>
    </w:p>
    <w:p>
      <w:pPr>
        <w:pStyle w:val="Heading"/>
        <w:spacing w:before="240"/>
        <w:jc w:val="center"/>
        <w:rPr>
          <w:rFonts w:ascii="Calibri" w:cs="Calibri" w:hAnsi="Calibri" w:eastAsia="Calibri"/>
          <w:outline w:val="0"/>
          <w:color w:val="000000"/>
          <w:sz w:val="24"/>
          <w:szCs w:val="24"/>
          <w:u w:color="000000"/>
          <w:lang w:val="en-US"/>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UNIVERSITY EXAMINATION FOR THE BACHELOR OF LAWS (LLB) DEGREE</w:t>
      </w:r>
    </w:p>
    <w:p>
      <w:pPr>
        <w:pStyle w:val="Heading"/>
        <w:spacing w:before="240"/>
        <w:jc w:val="center"/>
        <w:rPr>
          <w:rFonts w:ascii="Calibri" w:cs="Calibri" w:hAnsi="Calibri" w:eastAsia="Calibri"/>
          <w:outline w:val="0"/>
          <w:color w:val="000000"/>
          <w:sz w:val="24"/>
          <w:szCs w:val="24"/>
          <w:u w:color="000000"/>
          <w:lang w:val="en-US"/>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AND</w:t>
      </w:r>
    </w:p>
    <w:p>
      <w:pPr>
        <w:pStyle w:val="Heading"/>
        <w:spacing w:before="240"/>
        <w:jc w:val="center"/>
        <w:rPr>
          <w:rFonts w:ascii="Calibri" w:cs="Calibri" w:hAnsi="Calibri" w:eastAsia="Calibri"/>
          <w:outline w:val="0"/>
          <w:color w:val="000000"/>
          <w:sz w:val="24"/>
          <w:szCs w:val="24"/>
          <w:u w:color="000000"/>
          <w:lang w:val="en-US"/>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PRE-KENYA SCHOOL OF LAW CORE COURSES COMPLIANCE PROGRAMME</w:t>
      </w:r>
    </w:p>
    <w:p>
      <w:pPr>
        <w:pStyle w:val="Heading"/>
        <w:spacing w:before="240"/>
        <w:jc w:val="center"/>
        <w:rPr>
          <w:rFonts w:ascii="Calibri" w:cs="Calibri" w:hAnsi="Calibri" w:eastAsia="Calibri"/>
          <w:outline w:val="0"/>
          <w:color w:val="000000"/>
          <w:sz w:val="24"/>
          <w:szCs w:val="24"/>
          <w:u w:color="000000"/>
          <w:lang w:val="en-US"/>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APRIL</w:t>
      </w:r>
      <w:r>
        <w:rPr>
          <w:rFonts w:ascii="Calibri" w:hAnsi="Calibri"/>
          <w:outline w:val="0"/>
          <w:color w:val="000000"/>
          <w:sz w:val="24"/>
          <w:szCs w:val="24"/>
          <w:u w:color="000000"/>
          <w:rtl w:val="0"/>
          <w:lang w:val="en-US"/>
          <w14:textFill>
            <w14:solidFill>
              <w14:srgbClr w14:val="000000"/>
            </w14:solidFill>
          </w14:textFill>
        </w:rPr>
        <w:t xml:space="preserve"> 20</w:t>
      </w:r>
      <w:r>
        <w:rPr>
          <w:rFonts w:ascii="Calibri" w:hAnsi="Calibri"/>
          <w:outline w:val="0"/>
          <w:color w:val="000000"/>
          <w:sz w:val="24"/>
          <w:szCs w:val="24"/>
          <w:u w:color="000000"/>
          <w:rtl w:val="0"/>
          <w:lang w:val="en-US"/>
          <w14:textFill>
            <w14:solidFill>
              <w14:srgbClr w14:val="000000"/>
            </w14:solidFill>
          </w14:textFill>
        </w:rPr>
        <w:t>25</w:t>
      </w:r>
    </w:p>
    <w:p>
      <w:pPr>
        <w:pStyle w:val="Heading"/>
        <w:spacing w:before="240"/>
        <w:jc w:val="center"/>
        <w:rPr>
          <w:rFonts w:ascii="Calibri" w:cs="Calibri" w:hAnsi="Calibri" w:eastAsia="Calibri"/>
          <w:outline w:val="0"/>
          <w:color w:val="000000"/>
          <w:sz w:val="24"/>
          <w:szCs w:val="24"/>
          <w:u w:color="000000"/>
          <w:lang w:val="en-US"/>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RLB 206: ADMINISTRATIVE  LAW 1</w:t>
      </w:r>
    </w:p>
    <w:p>
      <w:pPr>
        <w:pStyle w:val="Heading"/>
        <w:spacing w:before="240"/>
        <w:jc w:val="center"/>
        <w:rPr>
          <w:rFonts w:ascii="Calibri" w:cs="Calibri" w:hAnsi="Calibri" w:eastAsia="Calibri"/>
          <w:outline w:val="0"/>
          <w:color w:val="000000"/>
          <w:sz w:val="24"/>
          <w:szCs w:val="24"/>
          <w:u w:color="000000"/>
          <w14:textFill>
            <w14:solidFill>
              <w14:srgbClr w14:val="000000"/>
            </w14:solidFill>
          </w14:textFill>
        </w:rPr>
      </w:pPr>
      <w:r>
        <w:rPr>
          <w:rFonts w:ascii="Calibri" w:hAnsi="Calibri"/>
          <w:outline w:val="0"/>
          <w:color w:val="000000"/>
          <w:sz w:val="24"/>
          <w:szCs w:val="24"/>
          <w:u w:color="000000"/>
          <w:rtl w:val="0"/>
          <w:lang w:val="de-DE"/>
          <w14:textFill>
            <w14:solidFill>
              <w14:srgbClr w14:val="000000"/>
            </w14:solidFill>
          </w14:textFill>
        </w:rPr>
        <w:t>INSTRUCTOR: Dr. VICTOR LANDO</w:t>
      </w:r>
    </w:p>
    <w:p>
      <w:pPr>
        <w:pStyle w:val="Body A"/>
        <w:spacing w:after="120"/>
        <w:jc w:val="center"/>
        <w:rPr>
          <w:b w:val="1"/>
          <w:bCs w:val="1"/>
          <w:sz w:val="24"/>
          <w:szCs w:val="24"/>
          <w:u w:val="single"/>
        </w:rPr>
      </w:pPr>
    </w:p>
    <w:p>
      <w:pPr>
        <w:pStyle w:val="Body A"/>
        <w:spacing w:after="120"/>
        <w:jc w:val="center"/>
        <w:rPr>
          <w:sz w:val="24"/>
          <w:szCs w:val="24"/>
        </w:rPr>
      </w:pPr>
      <w:r>
        <w:rPr>
          <w:b w:val="1"/>
          <w:bCs w:val="1"/>
          <w:sz w:val="24"/>
          <w:szCs w:val="24"/>
          <w:u w:val="single"/>
          <w:rtl w:val="0"/>
          <w:lang w:val="en-US"/>
        </w:rPr>
        <w:t>INSTRUCTIONS</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This is the final examination in Administrative Law 1.  You will earn 70% of your final grade from this final examination and 30% from Continuous Assessment Assignments.</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 xml:space="preserve">This examination has </w:t>
      </w:r>
      <w:r>
        <w:rPr>
          <w:b w:val="1"/>
          <w:bCs w:val="1"/>
          <w:sz w:val="24"/>
          <w:szCs w:val="24"/>
          <w:u w:val="single"/>
          <w:rtl w:val="0"/>
          <w:lang w:val="en-US"/>
        </w:rPr>
        <w:t>THREE</w:t>
      </w:r>
      <w:r>
        <w:rPr>
          <w:b w:val="1"/>
          <w:bCs w:val="1"/>
          <w:sz w:val="24"/>
          <w:szCs w:val="24"/>
          <w:rtl w:val="0"/>
          <w:lang w:val="en-US"/>
        </w:rPr>
        <w:t xml:space="preserve"> </w:t>
      </w:r>
      <w:r>
        <w:rPr>
          <w:rStyle w:val="page number"/>
          <w:sz w:val="24"/>
          <w:szCs w:val="24"/>
          <w:rtl w:val="0"/>
          <w:lang w:val="en-US"/>
        </w:rPr>
        <w:t xml:space="preserve">questions.  Please answer </w:t>
      </w:r>
      <w:r>
        <w:rPr>
          <w:b w:val="1"/>
          <w:bCs w:val="1"/>
          <w:sz w:val="24"/>
          <w:szCs w:val="24"/>
          <w:u w:val="single"/>
          <w:rtl w:val="0"/>
          <w:lang w:val="en-US"/>
        </w:rPr>
        <w:t>ALL THREE QUESTIONS</w:t>
      </w:r>
      <w:r>
        <w:rPr>
          <w:rStyle w:val="page number"/>
          <w:sz w:val="24"/>
          <w:szCs w:val="24"/>
          <w:rtl w:val="0"/>
          <w:lang w:val="en-US"/>
        </w:rPr>
        <w:t>.</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This examination has 4 pages, including this one.</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 xml:space="preserve">Time allocated for this examination is </w:t>
      </w:r>
      <w:r>
        <w:rPr>
          <w:b w:val="1"/>
          <w:bCs w:val="1"/>
          <w:sz w:val="24"/>
          <w:szCs w:val="24"/>
          <w:u w:val="single"/>
          <w:rtl w:val="0"/>
          <w:lang w:val="en-US"/>
        </w:rPr>
        <w:t xml:space="preserve">THREE </w:t>
      </w:r>
      <w:r>
        <w:rPr>
          <w:rStyle w:val="page number"/>
          <w:sz w:val="24"/>
          <w:szCs w:val="24"/>
          <w:rtl w:val="0"/>
          <w:lang w:val="en-US"/>
        </w:rPr>
        <w:t>(3) hours.  You must stop writing when time is called.</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Please sign the roll sheet when you turn in your answer sheet.  If you fail to sign the roll sheet, we shall have no way of establishing that you sat for this examination and your marks will not be reported.</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 xml:space="preserve">This is a </w:t>
      </w:r>
      <w:r>
        <w:rPr>
          <w:b w:val="1"/>
          <w:bCs w:val="1"/>
          <w:sz w:val="24"/>
          <w:szCs w:val="24"/>
          <w:u w:val="single"/>
          <w:rtl w:val="0"/>
          <w:lang w:val="en-US"/>
        </w:rPr>
        <w:t>CLOSED BOOK</w:t>
      </w:r>
      <w:r>
        <w:rPr>
          <w:rStyle w:val="page number"/>
          <w:sz w:val="24"/>
          <w:szCs w:val="24"/>
          <w:rtl w:val="0"/>
          <w:lang w:val="en-US"/>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pPr>
        <w:pStyle w:val="List Paragraph"/>
        <w:numPr>
          <w:ilvl w:val="0"/>
          <w:numId w:val="2"/>
        </w:numPr>
        <w:bidi w:val="0"/>
        <w:spacing w:after="120" w:line="240" w:lineRule="auto"/>
        <w:ind w:right="0"/>
        <w:jc w:val="both"/>
        <w:rPr>
          <w:sz w:val="24"/>
          <w:szCs w:val="24"/>
          <w:rtl w:val="0"/>
          <w:lang w:val="en-US"/>
        </w:rPr>
      </w:pPr>
      <w:r>
        <w:rPr>
          <w:rStyle w:val="page number"/>
          <w:sz w:val="24"/>
          <w:szCs w:val="24"/>
          <w:rtl w:val="0"/>
          <w:lang w:val="en-US"/>
        </w:rPr>
        <w:t xml:space="preserve">This examination is governed by </w:t>
      </w:r>
      <w:r>
        <w:rPr>
          <w:b w:val="1"/>
          <w:bCs w:val="1"/>
          <w:sz w:val="24"/>
          <w:szCs w:val="24"/>
          <w:u w:val="single"/>
          <w:rtl w:val="0"/>
          <w:lang w:val="en-US"/>
        </w:rPr>
        <w:t>Riara University Academic Honesty Regulations</w:t>
      </w:r>
      <w:r>
        <w:rPr>
          <w:rStyle w:val="page number"/>
          <w:sz w:val="24"/>
          <w:szCs w:val="24"/>
          <w:rtl w:val="0"/>
          <w:lang w:val="en-US"/>
        </w:rPr>
        <w:t>.  Students who violate those regulations will be penalized.  Students have an obligation to report to the invigilator any incidences of academic dishonesty compromising the integrity of this examination.</w:t>
      </w:r>
    </w:p>
    <w:p>
      <w:pPr>
        <w:pStyle w:val="Body A"/>
        <w:spacing w:after="200" w:line="276" w:lineRule="auto"/>
      </w:pPr>
      <w:r>
        <w:rPr>
          <w:rFonts w:ascii="Arial Unicode MS" w:cs="Arial Unicode MS" w:hAnsi="Arial Unicode MS" w:eastAsia="Arial Unicode MS"/>
          <w:b w:val="0"/>
          <w:bCs w:val="0"/>
          <w:i w:val="0"/>
          <w:iCs w:val="0"/>
          <w:sz w:val="24"/>
          <w:szCs w:val="24"/>
        </w:rPr>
        <w:br w:type="page"/>
      </w:r>
    </w:p>
    <w:p>
      <w:pPr>
        <w:pStyle w:val="Normal (Web)"/>
        <w:shd w:val="clear" w:color="auto" w:fill="ffffff"/>
        <w:spacing w:before="0" w:after="150" w:line="360" w:lineRule="auto"/>
        <w:jc w:val="both"/>
        <w:rPr>
          <w:rFonts w:ascii="Calibri" w:cs="Calibri" w:hAnsi="Calibri" w:eastAsia="Calibri"/>
          <w:b w:val="1"/>
          <w:bCs w:val="1"/>
        </w:rPr>
      </w:pPr>
      <w:r>
        <w:rPr>
          <w:rFonts w:ascii="Calibri" w:hAnsi="Calibri"/>
          <w:b w:val="1"/>
          <w:bCs w:val="1"/>
          <w:rtl w:val="0"/>
          <w:lang w:val="en-US"/>
        </w:rPr>
        <w:t>Question 1. (30 Marks)</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Hodari is a trader who has been importing and selling non-woven bags in Kenya since the ban on plastic bags was effected by the government.  Before commencing his trade in the non-woven bags, he applied and was granted import licences by among others, the Kenya Bureau of Standards (KeBS) and the National Environmental Management Authority (NEMA). Having received the certification from these government departments, he proceeded to import large quantities of non-woven bags, supplying them to supermarkets, retail shops and other would-be customers, raking in good profits that have made him the largest supplier of non-woven bags in Kenya.</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On 12 March 20</w:t>
      </w:r>
      <w:r>
        <w:rPr>
          <w:rFonts w:ascii="Calibri" w:hAnsi="Calibri"/>
          <w:rtl w:val="0"/>
          <w:lang w:val="en-US"/>
        </w:rPr>
        <w:t>25</w:t>
      </w:r>
      <w:r>
        <w:rPr>
          <w:rFonts w:ascii="Calibri" w:hAnsi="Calibri"/>
          <w:rtl w:val="0"/>
          <w:lang w:val="en-US"/>
        </w:rPr>
        <w:t>, Hodari has an altercation with Mr. Simba, the CEO of NEMA over a parking spot at Two Rivers</w:t>
      </w:r>
      <w:r>
        <w:rPr>
          <w:rFonts w:ascii="Calibri" w:hAnsi="Calibri" w:hint="default"/>
          <w:rtl w:val="0"/>
          <w:lang w:val="en-US"/>
        </w:rPr>
        <w:t xml:space="preserve">’ </w:t>
      </w:r>
      <w:r>
        <w:rPr>
          <w:rFonts w:ascii="Calibri" w:hAnsi="Calibri"/>
          <w:rtl w:val="0"/>
          <w:lang w:val="en-US"/>
        </w:rPr>
        <w:t xml:space="preserve">Mall.  Hodari had double-parked his </w:t>
      </w:r>
      <w:r>
        <w:rPr>
          <w:rFonts w:ascii="Calibri" w:hAnsi="Calibri"/>
          <w:rtl w:val="0"/>
          <w:lang w:val="en-US"/>
        </w:rPr>
        <w:t>Porsche</w:t>
      </w:r>
      <w:r>
        <w:rPr>
          <w:rFonts w:ascii="Calibri" w:hAnsi="Calibri"/>
          <w:rtl w:val="0"/>
          <w:lang w:val="en-US"/>
        </w:rPr>
        <w:t xml:space="preserve"> in front of Simba</w:t>
      </w:r>
      <w:r>
        <w:rPr>
          <w:rFonts w:ascii="Calibri" w:hAnsi="Calibri" w:hint="default"/>
          <w:rtl w:val="0"/>
          <w:lang w:val="en-US"/>
        </w:rPr>
        <w:t>’</w:t>
      </w:r>
      <w:r>
        <w:rPr>
          <w:rFonts w:ascii="Calibri" w:hAnsi="Calibri"/>
          <w:rtl w:val="0"/>
          <w:lang w:val="en-US"/>
        </w:rPr>
        <w:t>s Range Rover and it took a whole 30 minutes for Simba</w:t>
      </w:r>
      <w:r>
        <w:rPr>
          <w:rFonts w:ascii="Calibri" w:hAnsi="Calibri" w:hint="default"/>
          <w:rtl w:val="0"/>
          <w:lang w:val="en-US"/>
        </w:rPr>
        <w:t>’</w:t>
      </w:r>
      <w:r>
        <w:rPr>
          <w:rFonts w:ascii="Calibri" w:hAnsi="Calibri"/>
          <w:rtl w:val="0"/>
          <w:lang w:val="en-US"/>
        </w:rPr>
        <w:t xml:space="preserve">s driver to trace the owner of the </w:t>
      </w:r>
      <w:r>
        <w:rPr>
          <w:rFonts w:ascii="Calibri" w:hAnsi="Calibri"/>
          <w:rtl w:val="0"/>
          <w:lang w:val="en-US"/>
        </w:rPr>
        <w:t>Porsche</w:t>
      </w:r>
      <w:r>
        <w:rPr>
          <w:rFonts w:ascii="Calibri" w:hAnsi="Calibri"/>
          <w:rtl w:val="0"/>
          <w:lang w:val="en-US"/>
        </w:rPr>
        <w:t>.</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On reaching the parking spot, Hodari apologised profusely to Simba and explained that he had been forced to double-park as he was rushing his son to the Aga Khan Clinic on 2</w:t>
      </w:r>
      <w:r>
        <w:rPr>
          <w:rFonts w:ascii="Calibri" w:hAnsi="Calibri"/>
          <w:vertAlign w:val="superscript"/>
          <w:rtl w:val="0"/>
          <w:lang w:val="en-US"/>
        </w:rPr>
        <w:t>nd</w:t>
      </w:r>
      <w:r>
        <w:rPr>
          <w:rFonts w:ascii="Calibri" w:hAnsi="Calibri"/>
          <w:rtl w:val="0"/>
          <w:lang w:val="en-US"/>
        </w:rPr>
        <w:t xml:space="preserve"> Floor. Mr. Simba would hear none of it and told Hodari. </w:t>
      </w:r>
      <w:r>
        <w:rPr>
          <w:rFonts w:ascii="Calibri" w:hAnsi="Calibri" w:hint="default"/>
          <w:rtl w:val="0"/>
          <w:lang w:val="en-US"/>
        </w:rPr>
        <w:t xml:space="preserve">‘ </w:t>
      </w:r>
      <w:r>
        <w:rPr>
          <w:rFonts w:ascii="Calibri" w:hAnsi="Calibri"/>
          <w:rtl w:val="0"/>
          <w:lang w:val="en-US"/>
        </w:rPr>
        <w:t>You will see !!...Utajua Hujui!</w:t>
      </w:r>
      <w:r>
        <w:rPr>
          <w:rFonts w:ascii="Calibri" w:hAnsi="Calibri" w:hint="default"/>
          <w:rtl w:val="0"/>
          <w:lang w:val="en-US"/>
        </w:rPr>
        <w:t>’</w:t>
      </w:r>
      <w:r>
        <w:rPr>
          <w:rFonts w:ascii="Calibri" w:hAnsi="Calibri"/>
          <w:rtl w:val="0"/>
          <w:lang w:val="en-US"/>
        </w:rPr>
        <w:t>. Hodari apologised again and even offered to pay for the parking ticket but Simba ignored him and drove off in a huff.</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On the 16</w:t>
      </w:r>
      <w:r>
        <w:rPr>
          <w:rFonts w:ascii="Calibri" w:hAnsi="Calibri"/>
          <w:vertAlign w:val="superscript"/>
          <w:rtl w:val="0"/>
          <w:lang w:val="en-US"/>
        </w:rPr>
        <w:t>th</w:t>
      </w:r>
      <w:r>
        <w:rPr>
          <w:rFonts w:ascii="Calibri" w:hAnsi="Calibri"/>
          <w:rtl w:val="0"/>
          <w:lang w:val="en-US"/>
        </w:rPr>
        <w:t xml:space="preserve"> of March 20</w:t>
      </w:r>
      <w:r>
        <w:rPr>
          <w:rFonts w:ascii="Calibri" w:hAnsi="Calibri"/>
          <w:rtl w:val="0"/>
          <w:lang w:val="en-US"/>
        </w:rPr>
        <w:t>24</w:t>
      </w:r>
      <w:r>
        <w:rPr>
          <w:rFonts w:ascii="Calibri" w:hAnsi="Calibri"/>
          <w:rtl w:val="0"/>
          <w:lang w:val="en-US"/>
        </w:rPr>
        <w:t>, the National Environmental Management Authority (NEMA) through its CEO, Mr. Simba, issued a press statement banning the sale and use of non-woven bags in Kenya.</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On 17</w:t>
      </w:r>
      <w:r>
        <w:rPr>
          <w:rFonts w:ascii="Calibri" w:hAnsi="Calibri"/>
          <w:vertAlign w:val="superscript"/>
          <w:rtl w:val="0"/>
          <w:lang w:val="en-US"/>
        </w:rPr>
        <w:t>th</w:t>
      </w:r>
      <w:r>
        <w:rPr>
          <w:rFonts w:ascii="Calibri" w:hAnsi="Calibri"/>
          <w:rtl w:val="0"/>
          <w:lang w:val="en-US"/>
        </w:rPr>
        <w:t xml:space="preserve"> of March 20</w:t>
      </w:r>
      <w:r>
        <w:rPr>
          <w:rFonts w:ascii="Calibri" w:hAnsi="Calibri"/>
          <w:rtl w:val="0"/>
          <w:lang w:val="en-US"/>
        </w:rPr>
        <w:t>24</w:t>
      </w:r>
      <w:r>
        <w:rPr>
          <w:rFonts w:ascii="Calibri" w:hAnsi="Calibri"/>
          <w:rtl w:val="0"/>
          <w:lang w:val="en-US"/>
        </w:rPr>
        <w:t>, NEMA officers accompanied by a contigent of police officers conduct a simultaneous raid on Hodari</w:t>
      </w:r>
      <w:r>
        <w:rPr>
          <w:rFonts w:ascii="Calibri" w:hAnsi="Calibri" w:hint="default"/>
          <w:rtl w:val="0"/>
          <w:lang w:val="en-US"/>
        </w:rPr>
        <w:t>’</w:t>
      </w:r>
      <w:r>
        <w:rPr>
          <w:rFonts w:ascii="Calibri" w:hAnsi="Calibri"/>
          <w:rtl w:val="0"/>
          <w:lang w:val="en-US"/>
        </w:rPr>
        <w:t xml:space="preserve">s warehouses in Nairobi and Mombasa inviting the media to cover </w:t>
      </w:r>
      <w:r>
        <w:rPr>
          <w:rFonts w:ascii="Calibri" w:hAnsi="Calibri" w:hint="default"/>
          <w:rtl w:val="0"/>
          <w:lang w:val="en-US"/>
        </w:rPr>
        <w:t>‘</w:t>
      </w:r>
      <w:r>
        <w:rPr>
          <w:rFonts w:ascii="Calibri" w:hAnsi="Calibri"/>
          <w:rtl w:val="0"/>
          <w:lang w:val="en-US"/>
        </w:rPr>
        <w:t>NEMA</w:t>
      </w:r>
      <w:r>
        <w:rPr>
          <w:rFonts w:ascii="Calibri" w:hAnsi="Calibri" w:hint="default"/>
          <w:rtl w:val="0"/>
          <w:lang w:val="en-US"/>
        </w:rPr>
        <w:t>’</w:t>
      </w:r>
      <w:r>
        <w:rPr>
          <w:rFonts w:ascii="Calibri" w:hAnsi="Calibri"/>
          <w:rtl w:val="0"/>
          <w:lang w:val="en-US"/>
        </w:rPr>
        <w:t>s raid on one of the most destructive polluters in Kenya.</w:t>
      </w:r>
      <w:r>
        <w:rPr>
          <w:rFonts w:ascii="Calibri" w:hAnsi="Calibri" w:hint="default"/>
          <w:rtl w:val="0"/>
          <w:lang w:val="en-US"/>
        </w:rPr>
        <w:t xml:space="preserve">’ </w:t>
      </w:r>
      <w:r>
        <w:rPr>
          <w:rFonts w:ascii="Calibri" w:hAnsi="Calibri"/>
          <w:rtl w:val="0"/>
          <w:lang w:val="en-US"/>
        </w:rPr>
        <w:t>They harass his employees and confiscate more than 350 metric tons of non-woven bags valued at Ksh.28 million.</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On 18</w:t>
      </w:r>
      <w:r>
        <w:rPr>
          <w:rFonts w:ascii="Calibri" w:hAnsi="Calibri"/>
          <w:vertAlign w:val="superscript"/>
          <w:rtl w:val="0"/>
          <w:lang w:val="en-US"/>
        </w:rPr>
        <w:t>th</w:t>
      </w:r>
      <w:r>
        <w:rPr>
          <w:rFonts w:ascii="Calibri" w:hAnsi="Calibri"/>
          <w:rtl w:val="0"/>
          <w:lang w:val="en-US"/>
        </w:rPr>
        <w:t xml:space="preserve"> of March 20</w:t>
      </w:r>
      <w:r>
        <w:rPr>
          <w:rFonts w:ascii="Calibri" w:hAnsi="Calibri"/>
          <w:rtl w:val="0"/>
          <w:lang w:val="en-US"/>
        </w:rPr>
        <w:t>25</w:t>
      </w:r>
      <w:r>
        <w:rPr>
          <w:rFonts w:ascii="Calibri" w:hAnsi="Calibri"/>
          <w:rtl w:val="0"/>
          <w:lang w:val="en-US"/>
        </w:rPr>
        <w:t>, Hodari writes to NEMA appealing for time to be allowed to at least sell his current stock, which he had bought months before the directive by NEMA. He delivers the letter personally to the NEMA Headquarters, and by good luck, meets Mr. Simba, the CEO, who laughs sarcastically at him and tells him..</w:t>
      </w:r>
      <w:r>
        <w:rPr>
          <w:rFonts w:ascii="Calibri" w:hAnsi="Calibri" w:hint="default"/>
          <w:rtl w:val="0"/>
          <w:lang w:val="en-US"/>
        </w:rPr>
        <w:t>‘</w:t>
      </w:r>
      <w:r>
        <w:rPr>
          <w:rFonts w:ascii="Calibri" w:hAnsi="Calibri"/>
          <w:rtl w:val="0"/>
          <w:lang w:val="en-US"/>
        </w:rPr>
        <w:t>Now you see huh?</w:t>
      </w:r>
      <w:r>
        <w:rPr>
          <w:rFonts w:ascii="Calibri" w:hAnsi="Calibri" w:hint="default"/>
          <w:rtl w:val="0"/>
          <w:lang w:val="en-US"/>
        </w:rPr>
        <w:t xml:space="preserve">’ </w:t>
      </w:r>
      <w:r>
        <w:rPr>
          <w:rFonts w:ascii="Calibri" w:hAnsi="Calibri"/>
          <w:rtl w:val="0"/>
          <w:lang w:val="en-US"/>
        </w:rPr>
        <w:t>Sasa umejua haujui!!</w:t>
      </w:r>
      <w:r>
        <w:rPr>
          <w:rFonts w:ascii="Calibri" w:hAnsi="Calibri" w:hint="default"/>
          <w:rtl w:val="0"/>
          <w:lang w:val="en-US"/>
        </w:rPr>
        <w:t>’</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 xml:space="preserve">A week later, his letter has not been responded to, and his stock is still seized. His calls and visits to NEMA Headquarters are met with the same response </w:t>
      </w:r>
      <w:r>
        <w:rPr>
          <w:rFonts w:ascii="Calibri" w:hAnsi="Calibri" w:hint="default"/>
          <w:rtl w:val="0"/>
          <w:lang w:val="en-US"/>
        </w:rPr>
        <w:t xml:space="preserve">‘ </w:t>
      </w:r>
      <w:r>
        <w:rPr>
          <w:rFonts w:ascii="Calibri" w:hAnsi="Calibri"/>
          <w:rtl w:val="0"/>
          <w:lang w:val="en-US"/>
        </w:rPr>
        <w:t>Our CEO is busy at the moment but he will get back to you</w:t>
      </w:r>
      <w:r>
        <w:rPr>
          <w:rFonts w:ascii="Calibri" w:hAnsi="Calibri" w:hint="default"/>
          <w:rtl w:val="0"/>
          <w:lang w:val="en-US"/>
        </w:rPr>
        <w:t>‘</w:t>
      </w:r>
    </w:p>
    <w:p>
      <w:pPr>
        <w:pStyle w:val="Normal (Web)"/>
        <w:shd w:val="clear" w:color="auto" w:fill="ffffff"/>
        <w:spacing w:before="0" w:after="150" w:line="360" w:lineRule="auto"/>
        <w:jc w:val="both"/>
        <w:rPr>
          <w:rFonts w:ascii="Calibri" w:cs="Calibri" w:hAnsi="Calibri" w:eastAsia="Calibri"/>
        </w:rPr>
      </w:pPr>
      <w:r>
        <w:rPr>
          <w:rFonts w:ascii="Calibri" w:hAnsi="Calibri"/>
          <w:rtl w:val="0"/>
          <w:lang w:val="en-US"/>
        </w:rPr>
        <w:t xml:space="preserve">He approaches your law firm for a legal opinion on his current options under the law. </w:t>
      </w:r>
    </w:p>
    <w:p>
      <w:pPr>
        <w:pStyle w:val="Body A"/>
        <w:spacing w:line="360" w:lineRule="auto"/>
        <w:jc w:val="both"/>
        <w:rPr>
          <w:b w:val="1"/>
          <w:bCs w:val="1"/>
          <w:sz w:val="24"/>
          <w:szCs w:val="24"/>
        </w:rPr>
      </w:pPr>
      <w:r>
        <w:rPr>
          <w:b w:val="1"/>
          <w:bCs w:val="1"/>
          <w:sz w:val="24"/>
          <w:szCs w:val="24"/>
          <w:rtl w:val="0"/>
          <w:lang w:val="en-US"/>
        </w:rPr>
        <w:t>Provide Hodari with a detailed legal opinion, based on provisions of the Constitution, case law as well as statute, on whether there has been a breach of any of his rights under Administrative Law</w:t>
      </w:r>
      <w:r>
        <w:rPr>
          <w:b w:val="1"/>
          <w:bCs w:val="1"/>
          <w:sz w:val="24"/>
          <w:szCs w:val="24"/>
          <w:rtl w:val="0"/>
          <w:lang w:val="en-US"/>
        </w:rPr>
        <w:t>, as well as any possible remedies he may have</w:t>
      </w:r>
      <w:r>
        <w:rPr>
          <w:b w:val="1"/>
          <w:bCs w:val="1"/>
          <w:sz w:val="24"/>
          <w:szCs w:val="24"/>
          <w:rtl w:val="0"/>
          <w:lang w:val="en-US"/>
        </w:rPr>
        <w:t>. (30 marks)</w:t>
      </w:r>
    </w:p>
    <w:p>
      <w:pPr>
        <w:pStyle w:val="Body A"/>
        <w:spacing w:line="360" w:lineRule="auto"/>
        <w:rPr>
          <w:b w:val="1"/>
          <w:bCs w:val="1"/>
          <w:sz w:val="24"/>
          <w:szCs w:val="24"/>
        </w:rPr>
      </w:pPr>
    </w:p>
    <w:p>
      <w:pPr>
        <w:pStyle w:val="Body A"/>
        <w:spacing w:line="360" w:lineRule="auto"/>
        <w:rPr>
          <w:b w:val="1"/>
          <w:bCs w:val="1"/>
          <w:sz w:val="24"/>
          <w:szCs w:val="24"/>
        </w:rPr>
      </w:pPr>
      <w:r>
        <w:rPr>
          <w:b w:val="1"/>
          <w:bCs w:val="1"/>
          <w:sz w:val="24"/>
          <w:szCs w:val="24"/>
          <w:rtl w:val="0"/>
          <w:lang w:val="it-IT"/>
        </w:rPr>
        <w:t>Question 2. (20 Marks)</w:t>
      </w:r>
    </w:p>
    <w:p>
      <w:pPr>
        <w:pStyle w:val="Body A"/>
        <w:spacing w:line="360" w:lineRule="auto"/>
        <w:jc w:val="both"/>
        <w:rPr>
          <w:b w:val="1"/>
          <w:bCs w:val="1"/>
          <w:sz w:val="24"/>
          <w:szCs w:val="24"/>
        </w:rPr>
      </w:pPr>
      <w:r>
        <w:rPr>
          <w:sz w:val="24"/>
          <w:szCs w:val="24"/>
          <w:rtl w:val="0"/>
          <w:lang w:val="en-US"/>
        </w:rPr>
        <w:t>“</w:t>
      </w:r>
      <w:r>
        <w:rPr>
          <w:sz w:val="24"/>
          <w:szCs w:val="24"/>
          <w:rtl w:val="0"/>
          <w:lang w:val="en-US"/>
        </w:rPr>
        <w:t xml:space="preserve">I do not agree that the source of the power is the sole test whether a body is subject to Judicial Review </w:t>
      </w:r>
      <w:r>
        <w:rPr>
          <w:sz w:val="24"/>
          <w:szCs w:val="24"/>
          <w:rtl w:val="0"/>
          <w:lang w:val="en-US"/>
        </w:rPr>
        <w:t>…</w:t>
      </w:r>
      <w:r>
        <w:rPr>
          <w:sz w:val="24"/>
          <w:szCs w:val="24"/>
          <w:rtl w:val="0"/>
          <w:lang w:val="en-US"/>
        </w:rPr>
        <w:t>..it is helpful to look not just at the source of the power but at the nature of the power</w:t>
      </w:r>
      <w:r>
        <w:rPr>
          <w:i w:val="1"/>
          <w:iCs w:val="1"/>
          <w:sz w:val="24"/>
          <w:szCs w:val="24"/>
          <w:rtl w:val="0"/>
          <w:lang w:val="en-US"/>
        </w:rPr>
        <w:t>”</w:t>
      </w:r>
      <w:r>
        <w:rPr>
          <w:i w:val="1"/>
          <w:iCs w:val="1"/>
          <w:sz w:val="24"/>
          <w:szCs w:val="24"/>
          <w:rtl w:val="0"/>
          <w:lang w:val="en-US"/>
        </w:rPr>
        <w:t xml:space="preserve">.. </w:t>
      </w:r>
      <w:r>
        <w:rPr>
          <w:b w:val="1"/>
          <w:bCs w:val="1"/>
          <w:i w:val="1"/>
          <w:iCs w:val="1"/>
          <w:sz w:val="24"/>
          <w:szCs w:val="24"/>
          <w:rtl w:val="0"/>
          <w:lang w:val="en-US"/>
        </w:rPr>
        <w:t>R v Panel on Takeovers and Mergers Ex-Parte Datafin PLC &amp; Another</w:t>
      </w:r>
      <w:r>
        <w:rPr>
          <w:sz w:val="24"/>
          <w:szCs w:val="24"/>
          <w:rtl w:val="0"/>
          <w:lang w:val="en-US"/>
        </w:rPr>
        <w:t xml:space="preserve"> </w:t>
      </w:r>
      <w:r>
        <w:rPr>
          <w:b w:val="1"/>
          <w:bCs w:val="1"/>
          <w:sz w:val="24"/>
          <w:szCs w:val="24"/>
          <w:rtl w:val="0"/>
          <w:lang w:val="en-US"/>
        </w:rPr>
        <w:t>1987 ALL E.R 564.</w:t>
      </w:r>
    </w:p>
    <w:p>
      <w:pPr>
        <w:pStyle w:val="List Paragraph"/>
        <w:numPr>
          <w:ilvl w:val="0"/>
          <w:numId w:val="4"/>
        </w:numPr>
        <w:bidi w:val="0"/>
        <w:spacing w:line="360" w:lineRule="auto"/>
        <w:ind w:right="0"/>
        <w:jc w:val="both"/>
        <w:rPr>
          <w:b w:val="1"/>
          <w:bCs w:val="1"/>
          <w:sz w:val="24"/>
          <w:szCs w:val="24"/>
          <w:rtl w:val="0"/>
          <w:lang w:val="en-US"/>
        </w:rPr>
      </w:pPr>
      <w:r>
        <w:rPr>
          <w:rStyle w:val="page number"/>
          <w:b w:val="1"/>
          <w:bCs w:val="1"/>
          <w:sz w:val="24"/>
          <w:szCs w:val="24"/>
          <w:rtl w:val="0"/>
          <w:lang w:val="en-US"/>
        </w:rPr>
        <w:t xml:space="preserve">In light of the above statement, critically analyse the concept of a </w:t>
      </w:r>
      <w:r>
        <w:rPr>
          <w:rStyle w:val="page number"/>
          <w:b w:val="1"/>
          <w:bCs w:val="1"/>
          <w:sz w:val="24"/>
          <w:szCs w:val="24"/>
          <w:rtl w:val="0"/>
          <w:lang w:val="en-US"/>
        </w:rPr>
        <w:t>‘</w:t>
      </w:r>
      <w:r>
        <w:rPr>
          <w:rStyle w:val="page number"/>
          <w:b w:val="1"/>
          <w:bCs w:val="1"/>
          <w:sz w:val="24"/>
          <w:szCs w:val="24"/>
          <w:rtl w:val="0"/>
          <w:lang w:val="en-US"/>
        </w:rPr>
        <w:t>public body</w:t>
      </w:r>
      <w:r>
        <w:rPr>
          <w:rStyle w:val="page number"/>
          <w:b w:val="1"/>
          <w:bCs w:val="1"/>
          <w:sz w:val="24"/>
          <w:szCs w:val="24"/>
          <w:rtl w:val="0"/>
          <w:lang w:val="en-US"/>
        </w:rPr>
        <w:t xml:space="preserve">’ </w:t>
      </w:r>
      <w:r>
        <w:rPr>
          <w:rStyle w:val="page number"/>
          <w:b w:val="1"/>
          <w:bCs w:val="1"/>
          <w:sz w:val="24"/>
          <w:szCs w:val="24"/>
          <w:rtl w:val="0"/>
          <w:lang w:val="en-US"/>
        </w:rPr>
        <w:t>within the context of administrative law in Kenya.</w:t>
      </w:r>
      <w:r>
        <w:rPr>
          <w:b w:val="0"/>
          <w:bCs w:val="0"/>
          <w:sz w:val="24"/>
          <w:szCs w:val="24"/>
          <w:rtl w:val="0"/>
          <w:lang w:val="en-US"/>
        </w:rPr>
        <w:t xml:space="preserve"> </w:t>
      </w:r>
      <w:r>
        <w:rPr>
          <w:rStyle w:val="page number"/>
          <w:b w:val="1"/>
          <w:bCs w:val="1"/>
          <w:sz w:val="24"/>
          <w:szCs w:val="24"/>
          <w:rtl w:val="0"/>
          <w:lang w:val="en-US"/>
        </w:rPr>
        <w:t>(10 marks)</w:t>
      </w:r>
    </w:p>
    <w:p>
      <w:pPr>
        <w:pStyle w:val="Body A"/>
        <w:spacing w:line="360" w:lineRule="auto"/>
        <w:jc w:val="both"/>
        <w:rPr>
          <w:b w:val="1"/>
          <w:bCs w:val="1"/>
          <w:sz w:val="24"/>
          <w:szCs w:val="24"/>
        </w:rPr>
      </w:pPr>
      <w:r>
        <w:rPr>
          <w:sz w:val="24"/>
          <w:szCs w:val="24"/>
          <w:rtl w:val="0"/>
          <w:lang w:val="en-US"/>
        </w:rPr>
        <w:t xml:space="preserve"> Administrative Law may be defined as </w:t>
      </w:r>
      <w:r>
        <w:rPr>
          <w:sz w:val="24"/>
          <w:szCs w:val="24"/>
          <w:rtl w:val="0"/>
          <w:lang w:val="en-US"/>
        </w:rPr>
        <w:t>‘</w:t>
      </w:r>
      <w:r>
        <w:rPr>
          <w:sz w:val="24"/>
          <w:szCs w:val="24"/>
          <w:rtl w:val="0"/>
          <w:lang w:val="en-US"/>
        </w:rPr>
        <w:t>..A branch of Public Law concerned with the composition, procedures, powers, duties, rights and liabilities of the various organs of government that are engaged in administering public policies</w:t>
      </w:r>
      <w:r>
        <w:rPr>
          <w:sz w:val="24"/>
          <w:szCs w:val="24"/>
          <w:rtl w:val="0"/>
          <w:lang w:val="en-US"/>
        </w:rPr>
        <w:t>…</w:t>
      </w:r>
      <w:r>
        <w:rPr>
          <w:sz w:val="24"/>
          <w:szCs w:val="24"/>
          <w:rtl w:val="0"/>
          <w:lang w:val="en-US"/>
        </w:rPr>
        <w:t>.</w:t>
      </w:r>
      <w:r>
        <w:rPr>
          <w:sz w:val="24"/>
          <w:szCs w:val="24"/>
          <w:rtl w:val="0"/>
          <w:lang w:val="en-US"/>
        </w:rPr>
        <w:t>’</w:t>
      </w:r>
      <w:r>
        <w:rPr>
          <w:sz w:val="24"/>
          <w:szCs w:val="24"/>
          <w:rtl w:val="0"/>
          <w:lang w:val="en-US"/>
        </w:rPr>
        <w:t xml:space="preserve">- </w:t>
      </w:r>
      <w:r>
        <w:rPr>
          <w:b w:val="1"/>
          <w:bCs w:val="1"/>
          <w:sz w:val="24"/>
          <w:szCs w:val="24"/>
          <w:rtl w:val="0"/>
          <w:lang w:val="en-US"/>
        </w:rPr>
        <w:t>AW Bradley and KD Ewing, Constitutional and Administrative Law, 15</w:t>
      </w:r>
      <w:r>
        <w:rPr>
          <w:b w:val="1"/>
          <w:bCs w:val="1"/>
          <w:sz w:val="24"/>
          <w:szCs w:val="24"/>
          <w:vertAlign w:val="superscript"/>
          <w:rtl w:val="0"/>
          <w:lang w:val="en-US"/>
        </w:rPr>
        <w:t>th</w:t>
      </w:r>
      <w:r>
        <w:rPr>
          <w:b w:val="1"/>
          <w:bCs w:val="1"/>
          <w:sz w:val="24"/>
          <w:szCs w:val="24"/>
          <w:rtl w:val="0"/>
          <w:lang w:val="it-IT"/>
        </w:rPr>
        <w:t xml:space="preserve"> Edition.</w:t>
      </w:r>
    </w:p>
    <w:p>
      <w:pPr>
        <w:pStyle w:val="List Paragraph"/>
        <w:numPr>
          <w:ilvl w:val="0"/>
          <w:numId w:val="4"/>
        </w:numPr>
        <w:bidi w:val="0"/>
        <w:spacing w:line="360" w:lineRule="auto"/>
        <w:ind w:right="0"/>
        <w:jc w:val="both"/>
        <w:rPr>
          <w:sz w:val="24"/>
          <w:szCs w:val="24"/>
          <w:rtl w:val="0"/>
          <w:lang w:val="en-US"/>
        </w:rPr>
      </w:pPr>
      <w:r>
        <w:rPr>
          <w:b w:val="1"/>
          <w:bCs w:val="1"/>
          <w:sz w:val="24"/>
          <w:szCs w:val="24"/>
          <w:rtl w:val="0"/>
          <w:lang w:val="en-US"/>
        </w:rPr>
        <w:t>In view of the foregoing, identify and critically analyse at least five (5) provisions of the Constitution of Kenya, which provide the basis for Kenya</w:t>
      </w:r>
      <w:r>
        <w:rPr>
          <w:b w:val="1"/>
          <w:bCs w:val="1"/>
          <w:sz w:val="24"/>
          <w:szCs w:val="24"/>
          <w:rtl w:val="0"/>
          <w:lang w:val="en-US"/>
        </w:rPr>
        <w:t>’</w:t>
      </w:r>
      <w:r>
        <w:rPr>
          <w:b w:val="1"/>
          <w:bCs w:val="1"/>
          <w:sz w:val="24"/>
          <w:szCs w:val="24"/>
          <w:rtl w:val="0"/>
          <w:lang w:val="en-US"/>
        </w:rPr>
        <w:t>s administrative law framework.</w:t>
      </w:r>
      <w:r>
        <w:rPr>
          <w:rStyle w:val="page number"/>
          <w:sz w:val="24"/>
          <w:szCs w:val="24"/>
          <w:rtl w:val="0"/>
          <w:lang w:val="en-US"/>
        </w:rPr>
        <w:t xml:space="preserve"> </w:t>
      </w:r>
      <w:r>
        <w:rPr>
          <w:b w:val="1"/>
          <w:bCs w:val="1"/>
          <w:sz w:val="24"/>
          <w:szCs w:val="24"/>
          <w:rtl w:val="0"/>
          <w:lang w:val="en-US"/>
        </w:rPr>
        <w:t>(10 marks)</w:t>
      </w:r>
    </w:p>
    <w:p>
      <w:pPr>
        <w:pStyle w:val="Body A"/>
        <w:spacing w:line="360" w:lineRule="auto"/>
        <w:jc w:val="both"/>
        <w:rPr>
          <w:b w:val="1"/>
          <w:bCs w:val="1"/>
          <w:sz w:val="24"/>
          <w:szCs w:val="24"/>
        </w:rPr>
      </w:pPr>
    </w:p>
    <w:p>
      <w:pPr>
        <w:pStyle w:val="Body A"/>
        <w:spacing w:line="360" w:lineRule="auto"/>
        <w:jc w:val="both"/>
        <w:rPr>
          <w:b w:val="1"/>
          <w:bCs w:val="1"/>
          <w:sz w:val="24"/>
          <w:szCs w:val="24"/>
        </w:rPr>
      </w:pPr>
      <w:r>
        <w:rPr>
          <w:b w:val="1"/>
          <w:bCs w:val="1"/>
          <w:sz w:val="24"/>
          <w:szCs w:val="24"/>
          <w:rtl w:val="0"/>
          <w:lang w:val="it-IT"/>
        </w:rPr>
        <w:t>Question 3. (20 Marks)</w:t>
      </w:r>
    </w:p>
    <w:p>
      <w:pPr>
        <w:pStyle w:val="Body A"/>
        <w:spacing w:line="360" w:lineRule="auto"/>
        <w:jc w:val="both"/>
        <w:rPr>
          <w:sz w:val="24"/>
          <w:szCs w:val="24"/>
        </w:rPr>
      </w:pPr>
      <w:r>
        <w:rPr>
          <w:sz w:val="24"/>
          <w:szCs w:val="24"/>
          <w:rtl w:val="0"/>
          <w:lang w:val="en-US"/>
        </w:rPr>
        <w:t xml:space="preserve">Kamau is a Second year student at the Riara Law School. On </w:t>
      </w:r>
      <w:r>
        <w:rPr>
          <w:sz w:val="24"/>
          <w:szCs w:val="24"/>
          <w:rtl w:val="0"/>
          <w:lang w:val="en-US"/>
        </w:rPr>
        <w:t>2</w:t>
      </w:r>
      <w:r>
        <w:rPr>
          <w:sz w:val="24"/>
          <w:szCs w:val="24"/>
          <w:rtl w:val="0"/>
          <w:lang w:val="en-US"/>
        </w:rPr>
        <w:t>2</w:t>
      </w:r>
      <w:r>
        <w:rPr>
          <w:sz w:val="24"/>
          <w:szCs w:val="24"/>
          <w:vertAlign w:val="superscript"/>
          <w:rtl w:val="0"/>
        </w:rPr>
        <w:t>nd</w:t>
      </w:r>
      <w:r>
        <w:rPr>
          <w:sz w:val="24"/>
          <w:szCs w:val="24"/>
          <w:rtl w:val="0"/>
          <w:lang w:val="en-US"/>
        </w:rPr>
        <w:t xml:space="preserve"> </w:t>
      </w:r>
      <w:r>
        <w:rPr>
          <w:sz w:val="24"/>
          <w:szCs w:val="24"/>
          <w:rtl w:val="0"/>
          <w:lang w:val="en-US"/>
        </w:rPr>
        <w:t>March</w:t>
      </w:r>
      <w:r>
        <w:rPr>
          <w:sz w:val="24"/>
          <w:szCs w:val="24"/>
          <w:rtl w:val="0"/>
          <w:lang w:val="en-US"/>
        </w:rPr>
        <w:t xml:space="preserve"> 20</w:t>
      </w:r>
      <w:r>
        <w:rPr>
          <w:sz w:val="24"/>
          <w:szCs w:val="24"/>
          <w:rtl w:val="0"/>
          <w:lang w:val="en-US"/>
        </w:rPr>
        <w:t>25</w:t>
      </w:r>
      <w:r>
        <w:rPr>
          <w:sz w:val="24"/>
          <w:szCs w:val="24"/>
          <w:rtl w:val="0"/>
          <w:lang w:val="en-US"/>
        </w:rPr>
        <w:t xml:space="preserve">, he was writing his final exam in the Law of Evidence. He had not studied well for the paper and so opted to sneak his phone into the exam room to use for </w:t>
      </w:r>
      <w:r>
        <w:rPr>
          <w:rFonts w:ascii="Arial Unicode MS" w:hAnsi="Arial Unicode MS" w:hint="default"/>
          <w:sz w:val="24"/>
          <w:szCs w:val="24"/>
          <w:rtl w:val="1"/>
        </w:rPr>
        <w:t>‘</w:t>
      </w:r>
      <w:r>
        <w:rPr>
          <w:sz w:val="24"/>
          <w:szCs w:val="24"/>
          <w:rtl w:val="0"/>
          <w:lang w:val="en-US"/>
        </w:rPr>
        <w:t>reference purposes just in case he needed to consult</w:t>
      </w:r>
      <w:r>
        <w:rPr>
          <w:sz w:val="24"/>
          <w:szCs w:val="24"/>
          <w:rtl w:val="0"/>
          <w:lang w:val="en-US"/>
        </w:rPr>
        <w:t xml:space="preserve"> ChatGPT</w:t>
      </w:r>
      <w:r>
        <w:rPr>
          <w:rFonts w:ascii="Arial Unicode MS" w:hAnsi="Arial Unicode MS" w:hint="default"/>
          <w:sz w:val="24"/>
          <w:szCs w:val="24"/>
          <w:rtl w:val="1"/>
        </w:rPr>
        <w:t>’</w:t>
      </w:r>
      <w:r>
        <w:rPr>
          <w:sz w:val="24"/>
          <w:szCs w:val="24"/>
          <w:rtl w:val="0"/>
          <w:lang w:val="en-US"/>
        </w:rPr>
        <w:t xml:space="preserve">. As luck would have it, all the questions came from the areas that he had studied for, and so he was quite comfortable with the paper and saw no need to </w:t>
      </w:r>
      <w:r>
        <w:rPr>
          <w:rFonts w:ascii="Arial Unicode MS" w:hAnsi="Arial Unicode MS" w:hint="default"/>
          <w:sz w:val="24"/>
          <w:szCs w:val="24"/>
          <w:rtl w:val="1"/>
        </w:rPr>
        <w:t>‘</w:t>
      </w:r>
      <w:r>
        <w:rPr>
          <w:sz w:val="24"/>
          <w:szCs w:val="24"/>
          <w:rtl w:val="0"/>
          <w:lang w:val="en-US"/>
        </w:rPr>
        <w:t>consult his phone</w:t>
      </w:r>
      <w:r>
        <w:rPr>
          <w:rFonts w:ascii="Arial Unicode MS" w:hAnsi="Arial Unicode MS" w:hint="default"/>
          <w:sz w:val="24"/>
          <w:szCs w:val="24"/>
          <w:rtl w:val="1"/>
        </w:rPr>
        <w:t>’</w:t>
      </w:r>
      <w:r>
        <w:rPr>
          <w:sz w:val="24"/>
          <w:szCs w:val="24"/>
          <w:rtl w:val="0"/>
          <w:lang w:val="en-US"/>
        </w:rPr>
        <w:t>. Unfortunately, he got so excited that he forgot to switch off</w:t>
      </w:r>
      <w:r>
        <w:rPr>
          <w:sz w:val="24"/>
          <w:szCs w:val="24"/>
          <w:rtl w:val="0"/>
          <w:lang w:val="en-US"/>
        </w:rPr>
        <w:t xml:space="preserve"> his phone</w:t>
      </w:r>
      <w:r>
        <w:rPr>
          <w:sz w:val="24"/>
          <w:szCs w:val="24"/>
          <w:rtl w:val="0"/>
          <w:lang w:val="en-US"/>
        </w:rPr>
        <w:t xml:space="preserve">.  One hour into the exam, his phone started ringing loudly, just when the invigilator was next to him. His phone was promptly confiscated and he was escorted out of the examination room. The next day, he received a letter from the office of the Dean of </w:t>
      </w:r>
      <w:r>
        <w:rPr>
          <w:sz w:val="24"/>
          <w:szCs w:val="24"/>
          <w:rtl w:val="0"/>
          <w:lang w:val="en-US"/>
        </w:rPr>
        <w:t>Law School</w:t>
      </w:r>
      <w:r>
        <w:rPr>
          <w:sz w:val="24"/>
          <w:szCs w:val="24"/>
          <w:rtl w:val="0"/>
          <w:lang w:val="en-US"/>
        </w:rPr>
        <w:t>, informing him that he had been expelled from the University on account of academic dishonesty. The Riara University Disciplinary Guidelines, do not stipulate a specific procedure for taking disciplinary action against a student caught engaging in examination irregularities. It however grants the Dean</w:t>
      </w:r>
      <w:r>
        <w:rPr>
          <w:sz w:val="24"/>
          <w:szCs w:val="24"/>
          <w:rtl w:val="0"/>
          <w:lang w:val="en-US"/>
        </w:rPr>
        <w:t>,</w:t>
      </w:r>
      <w:r>
        <w:rPr>
          <w:sz w:val="24"/>
          <w:szCs w:val="24"/>
          <w:rtl w:val="0"/>
          <w:lang w:val="en-US"/>
        </w:rPr>
        <w:t xml:space="preserve"> the power to among others </w:t>
      </w:r>
      <w:r>
        <w:rPr>
          <w:rFonts w:ascii="Arial Unicode MS" w:hAnsi="Arial Unicode MS" w:hint="default"/>
          <w:sz w:val="24"/>
          <w:szCs w:val="24"/>
          <w:rtl w:val="1"/>
        </w:rPr>
        <w:t>‘</w:t>
      </w:r>
      <w:r>
        <w:rPr>
          <w:sz w:val="24"/>
          <w:szCs w:val="24"/>
          <w:rtl w:val="0"/>
          <w:lang w:val="en-US"/>
        </w:rPr>
        <w:t>take appropriate decisive action against a student</w:t>
      </w:r>
      <w:r>
        <w:rPr>
          <w:rFonts w:ascii="Arial Unicode MS" w:hAnsi="Arial Unicode MS" w:hint="default"/>
          <w:sz w:val="24"/>
          <w:szCs w:val="24"/>
          <w:rtl w:val="1"/>
        </w:rPr>
        <w:t xml:space="preserve">’ </w:t>
      </w:r>
      <w:r>
        <w:rPr>
          <w:sz w:val="24"/>
          <w:szCs w:val="24"/>
          <w:rtl w:val="0"/>
          <w:lang w:val="en-US"/>
        </w:rPr>
        <w:t>for among others, breaching examination regulations.</w:t>
      </w:r>
    </w:p>
    <w:p>
      <w:pPr>
        <w:pStyle w:val="Body A"/>
        <w:spacing w:line="360" w:lineRule="auto"/>
        <w:jc w:val="both"/>
        <w:rPr>
          <w:sz w:val="24"/>
          <w:szCs w:val="24"/>
        </w:rPr>
      </w:pPr>
      <w:r>
        <w:rPr>
          <w:sz w:val="24"/>
          <w:szCs w:val="24"/>
          <w:rtl w:val="0"/>
          <w:lang w:val="en-US"/>
        </w:rPr>
        <w:t>Kamau comes to you, as the top student in Administrative Law claiming that he has read something about Natural Justice.</w:t>
      </w:r>
    </w:p>
    <w:p>
      <w:pPr>
        <w:pStyle w:val="Body A"/>
        <w:spacing w:line="360" w:lineRule="auto"/>
        <w:jc w:val="both"/>
      </w:pPr>
      <w:r>
        <w:rPr>
          <w:b w:val="1"/>
          <w:bCs w:val="1"/>
          <w:sz w:val="24"/>
          <w:szCs w:val="24"/>
          <w:rtl w:val="0"/>
          <w:lang w:val="en-US"/>
        </w:rPr>
        <w:t xml:space="preserve">Advise him, using case law and statute, on the meaning and components of the Rules of Natural Justice, and whether his expulsion by the Dean of Students was within the law. </w:t>
      </w:r>
      <w:r>
        <w:rPr>
          <w:b w:val="1"/>
          <w:bCs w:val="1"/>
          <w:sz w:val="24"/>
          <w:szCs w:val="24"/>
          <w:rtl w:val="0"/>
          <w:lang w:val="en-US"/>
        </w:rPr>
        <w:t>Also advise him on any remedies he may have</w:t>
      </w:r>
      <w:r>
        <w:rPr>
          <w:b w:val="1"/>
          <w:bCs w:val="1"/>
          <w:sz w:val="24"/>
          <w:szCs w:val="24"/>
          <w:rtl w:val="0"/>
          <w:lang w:val="en-US"/>
        </w:rPr>
        <w:t>(20 marks)</w:t>
      </w:r>
      <w:r>
        <w:rPr>
          <w:b w:val="1"/>
          <w:bCs w:val="1"/>
          <w:sz w:val="24"/>
          <w:szCs w:val="24"/>
        </w:rPr>
      </w:r>
    </w:p>
    <w:sectPr>
      <w:headerReference w:type="default" r:id="rId5"/>
      <w:headerReference w:type="first" r:id="rId6"/>
      <w:footerReference w:type="default" r:id="rId7"/>
      <w:footerReference w:type="first" r:id="rId8"/>
      <w:pgSz w:w="11900" w:h="16840" w:orient="portrait"/>
      <w:pgMar w:top="1440" w:right="1440" w:bottom="1440" w:left="1440" w:header="708" w:footer="708"/>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 w:name="Cambri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footer"/>
      <w:jc w:val="right"/>
    </w:pPr>
    <w:r>
      <w:rPr>
        <w:rStyle w:val="page number"/>
      </w:rPr>
      <w:fldChar w:fldCharType="begin" w:fldLock="0"/>
    </w:r>
    <w:r>
      <w:rPr>
        <w:rStyle w:val="page number"/>
      </w:rPr>
      <w:instrText xml:space="preserve"> PAGE </w:instrText>
    </w:r>
    <w:r>
      <w:rPr>
        <w:rStyle w:val="page number"/>
      </w:rPr>
      <w:fldChar w:fldCharType="separate" w:fldLock="0"/>
    </w:r>
    <w:r>
      <w:rPr>
        <w:rStyle w:val="page number"/>
      </w:rPr>
    </w:r>
    <w:r>
      <w:rPr>
        <w:rStyle w:val="page number"/>
      </w:rPr>
      <w:fldChar w:fldCharType="end" w:fldLock="0"/>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2"/>
  </w:abstractNum>
  <w:abstractNum w:abstractNumId="3">
    <w:multiLevelType w:val="hybridMultilevel"/>
    <w:styleLink w:val="Imported Style 2"/>
    <w:lvl w:ilvl="0">
      <w:start w:val="1"/>
      <w:numFmt w:val="lowerLetter"/>
      <w:suff w:val="tab"/>
      <w:lvlText w:val="%1)"/>
      <w:lvlJc w:val="left"/>
      <w:pPr>
        <w:ind w:left="72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b w:val="1"/>
        <w:bCs w:val="1"/>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footer">
    <w:name w:val="footer"/>
    <w:next w:val="footer"/>
    <w:pPr>
      <w:keepNext w:val="0"/>
      <w:keepLines w:val="0"/>
      <w:pageBreakBefore w:val="0"/>
      <w:widowControl w:val="1"/>
      <w:shd w:val="clear" w:color="auto" w:fill="auto"/>
      <w:tabs>
        <w:tab w:val="center" w:pos="4320"/>
        <w:tab w:val="right" w:pos="8640"/>
      </w:tabs>
      <w:suppressAutoHyphens w:val="0"/>
      <w:bidi w:val="0"/>
      <w:spacing w:before="0" w:after="0" w:line="240"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en-US"/>
      <w14:textFill>
        <w14:solidFill>
          <w14:srgbClr w14:val="000000"/>
        </w14:solidFill>
      </w14:textFill>
    </w:rPr>
  </w:style>
  <w:style w:type="character" w:styleId="page number">
    <w:name w:val="page number"/>
  </w:style>
  <w:style w:type="paragraph" w:styleId="Body A">
    <w:name w:val="Body A"/>
    <w:next w:val="Body A"/>
    <w:pPr>
      <w:keepNext w:val="0"/>
      <w:keepLines w:val="0"/>
      <w:pageBreakBefore w:val="0"/>
      <w:widowControl w:val="1"/>
      <w:shd w:val="clear" w:color="auto" w:fill="auto"/>
      <w:suppressAutoHyphens w:val="0"/>
      <w:bidi w:val="0"/>
      <w:spacing w:before="0" w:after="160" w:line="259"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Heading">
    <w:name w:val="Heading"/>
    <w:next w:val="Body A"/>
    <w:pPr>
      <w:keepNext w:val="1"/>
      <w:keepLines w:val="1"/>
      <w:pageBreakBefore w:val="0"/>
      <w:widowControl w:val="1"/>
      <w:shd w:val="clear" w:color="auto" w:fill="auto"/>
      <w:suppressAutoHyphens w:val="0"/>
      <w:bidi w:val="0"/>
      <w:spacing w:before="480" w:after="0" w:line="240" w:lineRule="auto"/>
      <w:ind w:left="0" w:right="0" w:firstLine="0"/>
      <w:jc w:val="left"/>
      <w:outlineLvl w:val="0"/>
    </w:pPr>
    <w:rPr>
      <w:rFonts w:ascii="Cambria" w:cs="Arial Unicode MS" w:hAnsi="Cambria" w:eastAsia="Arial Unicode MS"/>
      <w:b w:val="1"/>
      <w:bCs w:val="1"/>
      <w:i w:val="0"/>
      <w:iCs w:val="0"/>
      <w:caps w:val="0"/>
      <w:smallCaps w:val="0"/>
      <w:strike w:val="0"/>
      <w:dstrike w:val="0"/>
      <w:outline w:val="0"/>
      <w:color w:val="345a8a"/>
      <w:spacing w:val="0"/>
      <w:kern w:val="0"/>
      <w:position w:val="0"/>
      <w:sz w:val="32"/>
      <w:szCs w:val="32"/>
      <w:u w:val="none" w:color="345a8a"/>
      <w:shd w:val="nil" w:color="auto" w:fill="auto"/>
      <w:vertAlign w:val="baseline"/>
      <w:lang w:val="de-DE"/>
      <w14:textOutline w14:w="12700" w14:cap="flat">
        <w14:noFill/>
        <w14:miter w14:lim="400000"/>
      </w14:textOutline>
      <w14:textFill>
        <w14:solidFill>
          <w14:srgbClr w14:val="345A8A"/>
        </w14:solidFill>
      </w14:textFill>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160" w:line="259" w:lineRule="auto"/>
      <w:ind w:left="72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lang w:val="en-US"/>
      <w14:textFill>
        <w14:solidFill>
          <w14:srgbClr w14:val="000000"/>
        </w14:solidFill>
      </w14:textFill>
    </w:rPr>
  </w:style>
  <w:style w:type="numbering" w:styleId="Imported Style 1">
    <w:name w:val="Imported Style 1"/>
    <w:pPr>
      <w:numPr>
        <w:numId w:val="1"/>
      </w:numPr>
    </w:pPr>
  </w:style>
  <w:style w:type="paragraph" w:styleId="Normal (Web)">
    <w:name w:val="Normal (Web)"/>
    <w:next w:val="Normal (Web)"/>
    <w:pPr>
      <w:keepNext w:val="0"/>
      <w:keepLines w:val="0"/>
      <w:pageBreakBefore w:val="0"/>
      <w:widowControl w:val="1"/>
      <w:shd w:val="clear" w:color="auto" w:fill="auto"/>
      <w:suppressAutoHyphens w:val="0"/>
      <w:bidi w:val="0"/>
      <w:spacing w:before="100" w:after="10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numbering" w:styleId="Imported Style 2">
    <w:name w:val="Imported Style 2"/>
    <w:pPr>
      <w:numPr>
        <w:numId w:val="3"/>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numbering" Target="numbering.xml"/><Relationship Id="rId10"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