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E1567">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ascii="Times New Roman" w:hAnsi="Times New Roman"/>
          <w:sz w:val="24"/>
          <w:szCs w:val="24"/>
        </w:rPr>
      </w:pPr>
    </w:p>
    <w:p w14:paraId="795199BF">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line="288" w:lineRule="auto"/>
        <w:ind w:left="0" w:right="0" w:firstLine="0"/>
        <w:jc w:val="center"/>
        <w:rPr>
          <w:rFonts w:ascii="Times New Roman" w:hAnsi="Times New Roman"/>
          <w:kern w:val="2"/>
          <w:sz w:val="24"/>
          <w:szCs w:val="24"/>
          <w:u w:color="000000"/>
          <w:rtl w:val="0"/>
        </w:rPr>
      </w:pPr>
      <w:r>
        <w:rPr>
          <w:rFonts w:ascii="Times New Roman" w:hAnsi="Times New Roman"/>
          <w:kern w:val="2"/>
          <w:sz w:val="24"/>
          <w:szCs w:val="24"/>
          <w:u w:color="000000"/>
          <w:rtl w:val="0"/>
        </w:rPr>
        <w:drawing>
          <wp:inline distT="0" distB="0" distL="0" distR="0">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14:paraId="2F122381">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lang w:val="de-DE"/>
        </w:rPr>
        <w:t>RIARA LAW SCHOOL</w:t>
      </w:r>
    </w:p>
    <w:p w14:paraId="1DC5C334">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24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lang w:val="en-US"/>
        </w:rPr>
        <w:t xml:space="preserve">UNIVERSITY EXAMINATION FOR THE </w:t>
      </w:r>
      <w:r>
        <w:rPr>
          <w:rFonts w:ascii="Times New Roman" w:hAnsi="Times New Roman"/>
          <w:b/>
          <w:bCs/>
          <w:kern w:val="2"/>
          <w:sz w:val="24"/>
          <w:szCs w:val="24"/>
          <w:u w:color="000000"/>
          <w:rtl w:val="0"/>
          <w:lang w:val="de-DE"/>
        </w:rPr>
        <w:t>BACHELOR OF LAWS (LLB) DEGREE</w:t>
      </w:r>
    </w:p>
    <w:p w14:paraId="4B41018D">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24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lang w:val="en-US"/>
        </w:rPr>
        <w:t>AND</w:t>
      </w:r>
    </w:p>
    <w:p w14:paraId="1C044179">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24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lang w:val="en-US"/>
        </w:rPr>
        <w:t>PRE-KENYA SCHOOL OF LAW CORE COURSES COMPLIANCE PROGRAMME</w:t>
      </w:r>
    </w:p>
    <w:p w14:paraId="25C03FC0">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24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rPr>
        <w:t>JAN - APRIL 2026</w:t>
      </w:r>
    </w:p>
    <w:p w14:paraId="1BA359A9">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24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lang w:val="en-US"/>
        </w:rPr>
        <w:t xml:space="preserve">RBLS7121 </w:t>
      </w:r>
      <w:r>
        <w:rPr>
          <w:rFonts w:ascii="Times New Roman" w:hAnsi="Times New Roman"/>
          <w:b/>
          <w:bCs/>
          <w:kern w:val="2"/>
          <w:sz w:val="24"/>
          <w:szCs w:val="24"/>
          <w:u w:color="000000"/>
          <w:rtl w:val="0"/>
        </w:rPr>
        <w:t xml:space="preserve">: </w:t>
      </w:r>
      <w:r>
        <w:rPr>
          <w:rFonts w:ascii="Times New Roman" w:hAnsi="Times New Roman"/>
          <w:b/>
          <w:bCs/>
          <w:kern w:val="2"/>
          <w:sz w:val="24"/>
          <w:szCs w:val="24"/>
          <w:u w:color="000000"/>
          <w:rtl w:val="0"/>
          <w:lang w:val="en-US"/>
        </w:rPr>
        <w:t>CONSTITUTIONAL LAW 2</w:t>
      </w:r>
    </w:p>
    <w:p w14:paraId="41FFB7E2">
      <w:pPr>
        <w:pStyle w:val="7"/>
        <w:keepNext/>
        <w:keepLines/>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before="240"/>
        <w:ind w:left="0" w:right="0" w:firstLine="0"/>
        <w:jc w:val="center"/>
        <w:outlineLvl w:val="0"/>
        <w:rPr>
          <w:rFonts w:ascii="Times New Roman" w:hAnsi="Times New Roman" w:eastAsia="Times New Roman" w:cs="Times New Roman"/>
          <w:b/>
          <w:bCs/>
          <w:kern w:val="2"/>
          <w:sz w:val="24"/>
          <w:szCs w:val="24"/>
          <w:u w:color="000000"/>
          <w:rtl w:val="0"/>
        </w:rPr>
      </w:pPr>
      <w:r>
        <w:rPr>
          <w:rFonts w:ascii="Times New Roman" w:hAnsi="Times New Roman"/>
          <w:b/>
          <w:bCs/>
          <w:kern w:val="2"/>
          <w:sz w:val="24"/>
          <w:szCs w:val="24"/>
          <w:u w:color="000000"/>
          <w:rtl w:val="0"/>
          <w:lang w:val="de-DE"/>
        </w:rPr>
        <w:t>EXAMINER: DR</w:t>
      </w:r>
      <w:r>
        <w:rPr>
          <w:rFonts w:ascii="Times New Roman" w:hAnsi="Times New Roman"/>
          <w:b/>
          <w:bCs/>
          <w:kern w:val="2"/>
          <w:sz w:val="24"/>
          <w:szCs w:val="24"/>
          <w:u w:color="000000"/>
          <w:rtl w:val="0"/>
          <w:lang w:val="en-US"/>
        </w:rPr>
        <w:t>.VICTOR LANDO</w:t>
      </w:r>
    </w:p>
    <w:p w14:paraId="6ED878A0">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after="120" w:line="288" w:lineRule="auto"/>
        <w:ind w:left="0" w:right="0" w:firstLine="0"/>
        <w:jc w:val="center"/>
        <w:rPr>
          <w:rFonts w:ascii="Times New Roman" w:hAnsi="Times New Roman" w:eastAsia="Times New Roman" w:cs="Times New Roman"/>
          <w:b/>
          <w:bCs/>
          <w:kern w:val="2"/>
          <w:sz w:val="24"/>
          <w:szCs w:val="24"/>
          <w:u w:val="single" w:color="000000"/>
          <w:rtl w:val="0"/>
        </w:rPr>
      </w:pPr>
    </w:p>
    <w:p w14:paraId="1E9EDE22">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bidi w:val="0"/>
        <w:spacing w:after="100" w:line="264" w:lineRule="auto"/>
        <w:ind w:left="0" w:right="0" w:firstLine="0"/>
        <w:jc w:val="center"/>
        <w:rPr>
          <w:rFonts w:ascii="Times New Roman" w:hAnsi="Times New Roman" w:eastAsia="Times New Roman" w:cs="Times New Roman"/>
          <w:kern w:val="2"/>
          <w:sz w:val="24"/>
          <w:szCs w:val="24"/>
          <w:u w:color="000000"/>
          <w:rtl w:val="0"/>
        </w:rPr>
      </w:pPr>
      <w:r>
        <w:rPr>
          <w:rFonts w:ascii="Times New Roman" w:hAnsi="Times New Roman"/>
          <w:b/>
          <w:bCs/>
          <w:kern w:val="2"/>
          <w:sz w:val="24"/>
          <w:szCs w:val="24"/>
          <w:u w:val="single" w:color="000000"/>
          <w:rtl w:val="0"/>
          <w:lang w:val="en-US"/>
        </w:rPr>
        <w:t>INSTRUCTIONS</w:t>
      </w:r>
    </w:p>
    <w:p w14:paraId="54ECC837">
      <w:pPr>
        <w:pStyle w:val="7"/>
        <w:framePr w:hRule="auto" w:wrap="auto" w:vAnchor="margin" w:hAnchor="text" w:yAlign="inline"/>
        <w:numPr>
          <w:ilvl w:val="0"/>
          <w:numId w:val="1"/>
        </w:numPr>
        <w:spacing w:after="100" w:line="264" w:lineRule="auto"/>
        <w:jc w:val="both"/>
        <w:rPr>
          <w:rFonts w:ascii="Times New Roman" w:hAnsi="Times New Roman"/>
          <w:kern w:val="2"/>
          <w:sz w:val="24"/>
          <w:szCs w:val="24"/>
          <w:u w:color="000000"/>
          <w:lang w:val="en-US"/>
        </w:rPr>
      </w:pPr>
      <w:r>
        <w:rPr>
          <w:rFonts w:ascii="Times New Roman" w:hAnsi="Times New Roman"/>
          <w:kern w:val="2"/>
          <w:sz w:val="24"/>
          <w:szCs w:val="24"/>
          <w:u w:color="000000"/>
          <w:rtl w:val="0"/>
          <w:lang w:val="en-US"/>
        </w:rPr>
        <w:t>This is the final examination in Constitutional Law 2. You will earn 70% of your final grade from this final examination and 30% from Continuous Assessment Assignments.</w:t>
      </w:r>
    </w:p>
    <w:p w14:paraId="6F51E47D">
      <w:pPr>
        <w:pStyle w:val="7"/>
        <w:framePr w:hRule="auto" w:wrap="auto" w:vAnchor="margin" w:hAnchor="text" w:yAlign="inline"/>
        <w:numPr>
          <w:ilvl w:val="0"/>
          <w:numId w:val="1"/>
        </w:numPr>
        <w:spacing w:after="100" w:line="264" w:lineRule="auto"/>
        <w:jc w:val="both"/>
        <w:rPr>
          <w:rFonts w:ascii="Times New Roman" w:hAnsi="Times New Roman"/>
          <w:kern w:val="2"/>
          <w:sz w:val="24"/>
          <w:szCs w:val="24"/>
          <w:u w:color="000000"/>
          <w:lang w:val="en-US"/>
        </w:rPr>
      </w:pPr>
      <w:r>
        <w:rPr>
          <w:rFonts w:ascii="Times New Roman" w:hAnsi="Times New Roman"/>
          <w:kern w:val="2"/>
          <w:sz w:val="24"/>
          <w:szCs w:val="24"/>
          <w:u w:color="000000"/>
          <w:rtl w:val="0"/>
          <w:lang w:val="en-US"/>
        </w:rPr>
        <w:t xml:space="preserve">This examination has </w:t>
      </w:r>
      <w:r>
        <w:rPr>
          <w:rFonts w:ascii="Times New Roman" w:hAnsi="Times New Roman"/>
          <w:b/>
          <w:bCs/>
          <w:kern w:val="2"/>
          <w:sz w:val="24"/>
          <w:szCs w:val="24"/>
          <w:u w:val="single" w:color="000000"/>
          <w:rtl w:val="0"/>
          <w:lang w:val="en-US"/>
        </w:rPr>
        <w:t>THREE</w:t>
      </w:r>
      <w:r>
        <w:rPr>
          <w:rFonts w:ascii="Times New Roman" w:hAnsi="Times New Roman"/>
          <w:b/>
          <w:bCs/>
          <w:kern w:val="2"/>
          <w:sz w:val="24"/>
          <w:szCs w:val="24"/>
          <w:u w:color="000000"/>
          <w:rtl w:val="0"/>
        </w:rPr>
        <w:t xml:space="preserve"> </w:t>
      </w:r>
      <w:r>
        <w:rPr>
          <w:rFonts w:ascii="Times New Roman" w:hAnsi="Times New Roman"/>
          <w:kern w:val="2"/>
          <w:sz w:val="24"/>
          <w:szCs w:val="24"/>
          <w:u w:color="000000"/>
          <w:rtl w:val="0"/>
          <w:lang w:val="en-US"/>
        </w:rPr>
        <w:t xml:space="preserve">questions.  Please answer </w:t>
      </w:r>
      <w:r>
        <w:rPr>
          <w:rFonts w:ascii="Times New Roman" w:hAnsi="Times New Roman"/>
          <w:b/>
          <w:bCs/>
          <w:kern w:val="2"/>
          <w:sz w:val="24"/>
          <w:szCs w:val="24"/>
          <w:u w:val="single" w:color="000000"/>
          <w:rtl w:val="0"/>
          <w:lang w:val="en-US"/>
        </w:rPr>
        <w:t>ALL</w:t>
      </w:r>
      <w:r>
        <w:rPr>
          <w:rFonts w:ascii="Times New Roman" w:hAnsi="Times New Roman"/>
          <w:b/>
          <w:bCs/>
          <w:kern w:val="2"/>
          <w:sz w:val="24"/>
          <w:szCs w:val="24"/>
          <w:u w:val="single" w:color="000000"/>
          <w:rtl w:val="0"/>
        </w:rPr>
        <w:t xml:space="preserve"> </w:t>
      </w:r>
      <w:r>
        <w:rPr>
          <w:rFonts w:ascii="Times New Roman" w:hAnsi="Times New Roman"/>
          <w:b/>
          <w:bCs/>
          <w:kern w:val="2"/>
          <w:sz w:val="24"/>
          <w:szCs w:val="24"/>
          <w:u w:val="single" w:color="000000"/>
          <w:rtl w:val="0"/>
          <w:lang w:val="en-US"/>
        </w:rPr>
        <w:t>3</w:t>
      </w:r>
      <w:r>
        <w:rPr>
          <w:rFonts w:ascii="Times New Roman" w:hAnsi="Times New Roman"/>
          <w:b/>
          <w:bCs/>
          <w:kern w:val="2"/>
          <w:sz w:val="24"/>
          <w:szCs w:val="24"/>
          <w:u w:val="single" w:color="000000"/>
          <w:rtl w:val="0"/>
          <w:lang/>
        </w:rPr>
        <w:t xml:space="preserve"> QUESTIONS.</w:t>
      </w:r>
    </w:p>
    <w:p w14:paraId="4629EED7">
      <w:pPr>
        <w:pStyle w:val="7"/>
        <w:framePr w:hRule="auto" w:wrap="auto" w:vAnchor="margin" w:hAnchor="text" w:yAlign="inline"/>
        <w:numPr>
          <w:ilvl w:val="0"/>
          <w:numId w:val="1"/>
        </w:numPr>
        <w:spacing w:after="100" w:line="264" w:lineRule="auto"/>
        <w:jc w:val="both"/>
        <w:rPr>
          <w:rFonts w:ascii="Times New Roman" w:hAnsi="Times New Roman"/>
          <w:kern w:val="2"/>
          <w:sz w:val="24"/>
          <w:szCs w:val="24"/>
          <w:u w:color="000000"/>
          <w:lang w:val="en-US"/>
        </w:rPr>
      </w:pPr>
      <w:r>
        <w:rPr>
          <w:rFonts w:ascii="Times New Roman" w:hAnsi="Times New Roman"/>
          <w:kern w:val="2"/>
          <w:sz w:val="24"/>
          <w:szCs w:val="24"/>
          <w:u w:color="000000"/>
          <w:rtl w:val="0"/>
          <w:lang w:val="en-US"/>
        </w:rPr>
        <w:t xml:space="preserve">This examination has </w:t>
      </w:r>
      <w:r>
        <w:rPr>
          <w:rFonts w:ascii="Times New Roman" w:hAnsi="Times New Roman"/>
          <w:b/>
          <w:bCs/>
          <w:kern w:val="2"/>
          <w:sz w:val="24"/>
          <w:szCs w:val="24"/>
          <w:u w:color="000000"/>
          <w:rtl w:val="0"/>
          <w:lang w:val="en-US"/>
        </w:rPr>
        <w:t>FOUR</w:t>
      </w:r>
      <w:r>
        <w:rPr>
          <w:rFonts w:ascii="Times New Roman" w:hAnsi="Times New Roman"/>
          <w:kern w:val="2"/>
          <w:sz w:val="24"/>
          <w:szCs w:val="24"/>
          <w:u w:color="000000"/>
          <w:rtl w:val="0"/>
          <w:lang w:val="en-US"/>
        </w:rPr>
        <w:t xml:space="preserve"> pages, including this one.</w:t>
      </w:r>
    </w:p>
    <w:p w14:paraId="5A66B039">
      <w:pPr>
        <w:pStyle w:val="8"/>
        <w:framePr w:hRule="auto" w:wrap="auto" w:vAnchor="margin" w:hAnchor="text" w:yAlign="inline"/>
        <w:numPr>
          <w:ilvl w:val="0"/>
          <w:numId w:val="2"/>
        </w:numPr>
        <w:spacing w:before="0" w:after="100" w:line="264" w:lineRule="auto"/>
        <w:jc w:val="both"/>
        <w:rPr>
          <w:rFonts w:ascii="Times New Roman" w:hAnsi="Times New Roman"/>
          <w:u w:color="000000"/>
          <w:lang w:val="en-US"/>
        </w:rPr>
      </w:pPr>
      <w:r>
        <w:rPr>
          <w:rFonts w:ascii="Times New Roman" w:hAnsi="Times New Roman"/>
          <w:u w:color="000000"/>
          <w:rtl w:val="0"/>
          <w:lang w:val="en-US"/>
        </w:rPr>
        <w:t xml:space="preserve">Time allocated for this examination is </w:t>
      </w:r>
      <w:r>
        <w:rPr>
          <w:rFonts w:ascii="Times New Roman" w:hAnsi="Times New Roman"/>
          <w:b/>
          <w:bCs/>
          <w:u w:val="single" w:color="000000"/>
          <w:rtl w:val="0"/>
          <w:lang w:val="en-US"/>
        </w:rPr>
        <w:t xml:space="preserve">TWO </w:t>
      </w:r>
      <w:r>
        <w:rPr>
          <w:rFonts w:ascii="Times New Roman" w:hAnsi="Times New Roman"/>
          <w:u w:color="000000"/>
          <w:rtl w:val="0"/>
          <w:lang w:val="en-US"/>
        </w:rPr>
        <w:t>(2) hours.  You must stop writing when time is called.</w:t>
      </w:r>
    </w:p>
    <w:p w14:paraId="6F2BE145">
      <w:pPr>
        <w:pStyle w:val="8"/>
        <w:framePr w:hRule="auto" w:wrap="auto" w:vAnchor="margin" w:hAnchor="text" w:yAlign="inline"/>
        <w:numPr>
          <w:ilvl w:val="0"/>
          <w:numId w:val="2"/>
        </w:numPr>
        <w:spacing w:before="0" w:after="100" w:line="264" w:lineRule="auto"/>
        <w:jc w:val="both"/>
        <w:rPr>
          <w:rFonts w:ascii="Times New Roman" w:hAnsi="Times New Roman"/>
          <w:u w:color="000000"/>
          <w:lang w:val="en-US"/>
        </w:rPr>
      </w:pPr>
      <w:r>
        <w:rPr>
          <w:rFonts w:ascii="Times New Roman" w:hAnsi="Times New Roman"/>
          <w:u w:color="000000"/>
          <w:rtl w:val="0"/>
          <w:lang w:val="en-US"/>
        </w:rPr>
        <w:t>Please sign the roll sheet when you turn in your answer sheet.  If you fail to sign the roll sheet, we shall have no way of establishing that you sat for this examination and your marks will not be reported.</w:t>
      </w:r>
    </w:p>
    <w:p w14:paraId="682D4E2E">
      <w:pPr>
        <w:pStyle w:val="8"/>
        <w:framePr w:hRule="auto" w:wrap="auto" w:vAnchor="margin" w:hAnchor="text" w:yAlign="inline"/>
        <w:numPr>
          <w:ilvl w:val="0"/>
          <w:numId w:val="2"/>
        </w:numPr>
        <w:spacing w:before="0" w:after="100" w:line="264" w:lineRule="auto"/>
        <w:jc w:val="both"/>
        <w:rPr>
          <w:rFonts w:ascii="Times New Roman" w:hAnsi="Times New Roman"/>
          <w:u w:color="000000"/>
          <w:lang w:val="en-US"/>
        </w:rPr>
      </w:pPr>
      <w:r>
        <w:rPr>
          <w:rFonts w:ascii="Times New Roman" w:hAnsi="Times New Roman"/>
          <w:u w:color="000000"/>
          <w:rtl w:val="0"/>
          <w:lang w:val="en-US"/>
        </w:rPr>
        <w:t xml:space="preserve">This is a </w:t>
      </w:r>
      <w:r>
        <w:rPr>
          <w:rFonts w:ascii="Times New Roman" w:hAnsi="Times New Roman"/>
          <w:b/>
          <w:bCs/>
          <w:u w:val="single" w:color="000000"/>
          <w:rtl w:val="0"/>
          <w:lang w:val="en-US"/>
        </w:rPr>
        <w:t>CLOSED BOOK</w:t>
      </w:r>
      <w:r>
        <w:rPr>
          <w:rFonts w:ascii="Times New Roman" w:hAnsi="Times New Roman"/>
          <w:u w:color="000000"/>
          <w:rtl w:val="0"/>
          <w:lang w:val="en-US"/>
        </w:rPr>
        <w:t xml:space="preserve"> examination.  This means you are not permitted to bring ANY hard or soft materials to the examination room. You are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14:paraId="57F51D3F">
      <w:pPr>
        <w:pStyle w:val="7"/>
        <w:framePr w:hRule="auto" w:wrap="auto" w:vAnchor="margin" w:hAnchor="text" w:yAlign="inline"/>
        <w:numPr>
          <w:ilvl w:val="0"/>
          <w:numId w:val="1"/>
        </w:numPr>
        <w:spacing w:after="100" w:line="264" w:lineRule="auto"/>
        <w:jc w:val="both"/>
        <w:rPr>
          <w:rFonts w:ascii="Times New Roman" w:hAnsi="Times New Roman"/>
          <w:kern w:val="2"/>
          <w:sz w:val="24"/>
          <w:szCs w:val="24"/>
          <w:u w:color="000000"/>
          <w:lang w:val="en-US"/>
        </w:rPr>
      </w:pPr>
      <w:r>
        <w:rPr>
          <w:rFonts w:ascii="Times New Roman" w:hAnsi="Times New Roman"/>
          <w:kern w:val="2"/>
          <w:sz w:val="24"/>
          <w:szCs w:val="24"/>
          <w:u w:color="000000"/>
          <w:rtl w:val="0"/>
          <w:lang w:val="en-US"/>
        </w:rPr>
        <w:t xml:space="preserve">This examination is governed by the </w:t>
      </w:r>
      <w:r>
        <w:rPr>
          <w:rFonts w:ascii="Times New Roman" w:hAnsi="Times New Roman"/>
          <w:b/>
          <w:bCs/>
          <w:kern w:val="2"/>
          <w:sz w:val="24"/>
          <w:szCs w:val="24"/>
          <w:u w:val="single" w:color="000000"/>
          <w:rtl w:val="0"/>
          <w:lang w:val="en-US"/>
        </w:rPr>
        <w:t>Riara University Academic Honesty Regulations</w:t>
      </w:r>
      <w:r>
        <w:rPr>
          <w:rFonts w:ascii="Times New Roman" w:hAnsi="Times New Roman"/>
          <w:kern w:val="2"/>
          <w:sz w:val="24"/>
          <w:szCs w:val="24"/>
          <w:u w:color="000000"/>
          <w:rtl w:val="0"/>
          <w:lang w:val="en-US"/>
        </w:rPr>
        <w:t>. Students who violate those regulations will be penalized. Students have an obligation to report to the course instructor any incidences of academic dishonesty compromising the integrity of this examination.</w:t>
      </w:r>
    </w:p>
    <w:p w14:paraId="0BBB2C96">
      <w:pPr>
        <w:pStyle w:val="7"/>
        <w:framePr w:hRule="auto" w:wrap="auto" w:vAnchor="margin" w:hAnchor="text" w:yAlign="inline"/>
        <w:numPr>
          <w:ilvl w:val="0"/>
          <w:numId w:val="1"/>
        </w:numPr>
        <w:spacing w:after="100" w:line="264" w:lineRule="auto"/>
        <w:jc w:val="both"/>
        <w:rPr>
          <w:rFonts w:ascii="Times New Roman" w:hAnsi="Times New Roman"/>
          <w:kern w:val="2"/>
          <w:sz w:val="24"/>
          <w:szCs w:val="24"/>
          <w:u w:color="000000"/>
          <w:lang w:val="en-US"/>
        </w:rPr>
      </w:pPr>
      <w:r>
        <w:rPr>
          <w:rFonts w:ascii="Times New Roman" w:hAnsi="Times New Roman"/>
          <w:kern w:val="2"/>
          <w:sz w:val="24"/>
          <w:szCs w:val="24"/>
          <w:u w:color="000000"/>
          <w:rtl w:val="0"/>
          <w:lang w:val="en-US"/>
        </w:rPr>
        <w:t xml:space="preserve">Indicate your registration Number and the Title of the Exam at the top of the page. DO NOT indicate your name on the answer script. </w:t>
      </w:r>
    </w:p>
    <w:p w14:paraId="51C4A75C">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 w:after="40" w:line="288" w:lineRule="auto"/>
        <w:rPr>
          <w:rFonts w:ascii="Times New Roman" w:hAnsi="Times New Roman" w:eastAsia="Times New Roman" w:cs="Times New Roman"/>
          <w:sz w:val="24"/>
          <w:szCs w:val="24"/>
        </w:rPr>
      </w:pPr>
    </w:p>
    <w:p w14:paraId="21C7EBC9">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b/>
          <w:bCs/>
          <w:sz w:val="24"/>
          <w:szCs w:val="24"/>
          <w:rtl w:val="0"/>
          <w:lang w:val="en-US"/>
        </w:rPr>
      </w:pPr>
    </w:p>
    <w:p w14:paraId="5E258426">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b/>
          <w:bCs/>
          <w:sz w:val="24"/>
          <w:szCs w:val="24"/>
          <w:rtl w:val="0"/>
          <w:lang w:val="en-US"/>
        </w:rPr>
        <w:t>QUESTION ONE [30 MARKS]</w:t>
      </w:r>
    </w:p>
    <w:p w14:paraId="6403A645">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406FFD70">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i/>
          <w:iCs/>
          <w:sz w:val="24"/>
          <w:szCs w:val="24"/>
          <w:rtl w:val="0"/>
          <w:lang w:val="en-US"/>
        </w:rPr>
        <w:t>Read the following scenario carefully and answer ALL parts (a), (b) and (c).</w:t>
      </w:r>
    </w:p>
    <w:p w14:paraId="07E0FD57">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22D611F4">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6AB56A76">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sz w:val="24"/>
          <w:szCs w:val="24"/>
          <w:rtl w:val="0"/>
          <w:lang w:val="en-US"/>
        </w:rPr>
        <w:t>Following a disputed general election in March</w:t>
      </w:r>
      <w:r>
        <w:rPr>
          <w:rFonts w:ascii="Times New Roman" w:hAnsi="Times New Roman"/>
          <w:sz w:val="24"/>
          <w:szCs w:val="24"/>
          <w:rtl w:val="0"/>
        </w:rPr>
        <w:t xml:space="preserve"> 202</w:t>
      </w:r>
      <w:r>
        <w:rPr>
          <w:rFonts w:ascii="Times New Roman" w:hAnsi="Times New Roman"/>
          <w:sz w:val="24"/>
          <w:szCs w:val="24"/>
          <w:rtl w:val="0"/>
          <w:lang w:val="en-US"/>
        </w:rPr>
        <w:t xml:space="preserve">6, President </w:t>
      </w:r>
      <w:r>
        <w:rPr>
          <w:rFonts w:ascii="Times New Roman" w:hAnsi="Times New Roman"/>
          <w:b/>
          <w:bCs/>
          <w:sz w:val="24"/>
          <w:szCs w:val="24"/>
          <w:rtl w:val="0"/>
          <w:lang w:val="nl-NL"/>
        </w:rPr>
        <w:t>Jabari Mwenda</w:t>
      </w:r>
      <w:r>
        <w:rPr>
          <w:rFonts w:ascii="Times New Roman" w:hAnsi="Times New Roman"/>
          <w:sz w:val="24"/>
          <w:szCs w:val="24"/>
          <w:rtl w:val="0"/>
          <w:lang w:val="en-US"/>
        </w:rPr>
        <w:t xml:space="preserve"> was declared winner by the Independent Electoral and Boundaries Commission (IEBC) with 51% of the vote. The runner-up, </w:t>
      </w:r>
      <w:r>
        <w:rPr>
          <w:rFonts w:ascii="Times New Roman" w:hAnsi="Times New Roman"/>
          <w:b/>
          <w:bCs/>
          <w:sz w:val="24"/>
          <w:szCs w:val="24"/>
          <w:rtl w:val="0"/>
          <w:lang w:val="it-IT"/>
        </w:rPr>
        <w:t>Senator Amina Otieno</w:t>
      </w:r>
      <w:r>
        <w:rPr>
          <w:rFonts w:ascii="Times New Roman" w:hAnsi="Times New Roman"/>
          <w:sz w:val="24"/>
          <w:szCs w:val="24"/>
          <w:rtl w:val="0"/>
          <w:lang w:val="en-US"/>
        </w:rPr>
        <w:t xml:space="preserve">, filed an election petition before the Supreme Court. One day into the hearing, President Mwenda issued a </w:t>
      </w:r>
      <w:r>
        <w:rPr>
          <w:rFonts w:ascii="Times New Roman" w:hAnsi="Times New Roman"/>
          <w:b/>
          <w:bCs/>
          <w:sz w:val="24"/>
          <w:szCs w:val="24"/>
          <w:rtl w:val="0"/>
          <w:lang w:val="en-US"/>
        </w:rPr>
        <w:t>Presidential Proclamation</w:t>
      </w:r>
      <w:r>
        <w:rPr>
          <w:rFonts w:ascii="Times New Roman" w:hAnsi="Times New Roman"/>
          <w:sz w:val="24"/>
          <w:szCs w:val="24"/>
          <w:rtl w:val="0"/>
        </w:rPr>
        <w:t xml:space="preserve"> </w:t>
      </w:r>
      <w:r>
        <w:rPr>
          <w:rFonts w:ascii="Times New Roman" w:hAnsi="Times New Roman"/>
          <w:sz w:val="24"/>
          <w:szCs w:val="24"/>
          <w:rtl w:val="0"/>
          <w:lang w:val="en-US"/>
        </w:rPr>
        <w:t xml:space="preserve">to </w:t>
      </w:r>
      <w:r>
        <w:rPr>
          <w:rFonts w:ascii="Times New Roman" w:hAnsi="Times New Roman"/>
          <w:i/>
          <w:iCs/>
          <w:sz w:val="24"/>
          <w:szCs w:val="24"/>
          <w:rtl w:val="0"/>
          <w:lang w:val="en-US"/>
        </w:rPr>
        <w:t>"reorganise the Judiciary in the national interest"</w:t>
      </w:r>
      <w:r>
        <w:rPr>
          <w:rFonts w:ascii="Times New Roman" w:hAnsi="Times New Roman"/>
          <w:sz w:val="24"/>
          <w:szCs w:val="24"/>
          <w:rtl w:val="0"/>
          <w:lang w:val="en-US"/>
        </w:rPr>
        <w:t xml:space="preserve">. The Proclamation directed the Chief Justice and two Supreme Court judges hearing the petition to proceed on </w:t>
      </w:r>
      <w:r>
        <w:rPr>
          <w:rFonts w:ascii="Times New Roman" w:hAnsi="Times New Roman"/>
          <w:i/>
          <w:iCs/>
          <w:sz w:val="24"/>
          <w:szCs w:val="24"/>
          <w:rtl w:val="0"/>
          <w:lang w:val="en-US"/>
        </w:rPr>
        <w:t>compulsory administrative leave</w:t>
      </w:r>
      <w:r>
        <w:rPr>
          <w:rFonts w:ascii="Times New Roman" w:hAnsi="Times New Roman"/>
          <w:sz w:val="24"/>
          <w:szCs w:val="24"/>
          <w:rtl w:val="0"/>
          <w:lang w:val="en-US"/>
        </w:rPr>
        <w:t xml:space="preserve"> pending a review of their conduct by a committee appointed personally by the President.</w:t>
      </w:r>
    </w:p>
    <w:p w14:paraId="629CB807">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p>
    <w:p w14:paraId="4493CF2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sz w:val="24"/>
          <w:szCs w:val="24"/>
          <w:rtl w:val="0"/>
          <w:lang w:val="en-US"/>
        </w:rPr>
        <w:t xml:space="preserve">The Attorney General advised the President that the Proclamation was constitutionally valid, relying on Article 132(4)(a) which grants the President residual power to perform any other executive function. The Chief Justice refused to comply, stating that the Proclamation violated the constitutional provisions on judicial independence and the separation of powers. Parliament, controlled by the President's party, swiftly passed a motion </w:t>
      </w:r>
      <w:r>
        <w:rPr>
          <w:rFonts w:ascii="Times New Roman" w:hAnsi="Times New Roman"/>
          <w:i/>
          <w:iCs/>
          <w:sz w:val="24"/>
          <w:szCs w:val="24"/>
          <w:rtl w:val="0"/>
          <w:lang w:val="en-US"/>
        </w:rPr>
        <w:t>"affirming the President's authority over all State officers"</w:t>
      </w:r>
      <w:r>
        <w:rPr>
          <w:rFonts w:ascii="Times New Roman" w:hAnsi="Times New Roman"/>
          <w:sz w:val="24"/>
          <w:szCs w:val="24"/>
          <w:rtl w:val="0"/>
          <w:lang w:val="en-US"/>
        </w:rPr>
        <w:t xml:space="preserve"> by a simple majority.</w:t>
      </w:r>
    </w:p>
    <w:p w14:paraId="6BDB3F80">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p>
    <w:p w14:paraId="3A008E8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sz w:val="24"/>
          <w:szCs w:val="24"/>
          <w:rtl w:val="0"/>
          <w:lang w:val="en-US"/>
        </w:rPr>
        <w:t xml:space="preserve">Simultaneously, the President proposed a constitutional amendment through Parliament to </w:t>
      </w:r>
      <w:r>
        <w:rPr>
          <w:rFonts w:ascii="Times New Roman" w:hAnsi="Times New Roman"/>
          <w:b/>
          <w:bCs/>
          <w:sz w:val="24"/>
          <w:szCs w:val="24"/>
          <w:rtl w:val="0"/>
          <w:lang w:val="en-US"/>
        </w:rPr>
        <w:t>abolish the position of Deputy President</w:t>
      </w:r>
      <w:r>
        <w:rPr>
          <w:rFonts w:ascii="Times New Roman" w:hAnsi="Times New Roman"/>
          <w:sz w:val="24"/>
          <w:szCs w:val="24"/>
          <w:rtl w:val="0"/>
          <w:lang w:val="en-US"/>
        </w:rPr>
        <w:t xml:space="preserve"> and replace it with a Prime Minister appointed by the President and answerable only to the President. The amendment Bill was introduced in the National Assembly and passed in a single reading within 48 hours. The sponsors argued the amendment only altered the structure of the Executive, not the basic structure of the Constitution, and therefore did not require a referendum under Article 255.</w:t>
      </w:r>
    </w:p>
    <w:p w14:paraId="08EAF57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p>
    <w:p w14:paraId="4731CD42">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sz w:val="24"/>
          <w:szCs w:val="24"/>
          <w:rtl w:val="0"/>
          <w:lang w:val="en-US"/>
        </w:rPr>
        <w:t>A coalition of civil society organisations and Senator Otieno have approached the High Court challenging both the Presidential Proclamation and the constitutional amendment.</w:t>
      </w:r>
    </w:p>
    <w:p w14:paraId="5801A750">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514C305C">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b/>
          <w:bCs/>
          <w:sz w:val="24"/>
          <w:szCs w:val="24"/>
          <w:rtl w:val="0"/>
          <w:lang w:val="en-US"/>
        </w:rPr>
        <w:t>Answer ALL parts (a), (b) and (c) below.</w:t>
      </w:r>
    </w:p>
    <w:p w14:paraId="07EAD166">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2433E4D9">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b/>
          <w:bCs/>
          <w:sz w:val="24"/>
          <w:szCs w:val="24"/>
          <w:rtl w:val="0"/>
          <w:lang w:val="de-DE"/>
        </w:rPr>
        <w:t xml:space="preserve">(a)  </w:t>
      </w:r>
      <w:r>
        <w:rPr>
          <w:rFonts w:ascii="Times New Roman" w:hAnsi="Times New Roman"/>
          <w:sz w:val="24"/>
          <w:szCs w:val="24"/>
          <w:rtl w:val="0"/>
          <w:lang w:val="en-US"/>
        </w:rPr>
        <w:t xml:space="preserve">Advise on the constitutional validity of the Presidential Proclamation placing the Chief Justice and two Supreme Court Judges on compulsory leave. In your answer, address the constitutional provisions governing the removal of judges and the role of the JSC, the principle of judicial independence under Article 160, and the doctrine of separation of powers.  </w:t>
      </w:r>
      <w:r>
        <w:rPr>
          <w:rFonts w:hint="default" w:ascii="Times New Roman" w:hAnsi="Times New Roman"/>
          <w:sz w:val="24"/>
          <w:szCs w:val="24"/>
          <w:rtl w:val="0"/>
          <w:lang w:val="en-US"/>
        </w:rPr>
        <w:t xml:space="preserve">                  </w:t>
      </w:r>
      <w:r>
        <w:rPr>
          <w:rFonts w:hint="default" w:ascii="Times New Roman" w:hAnsi="Times New Roman"/>
          <w:sz w:val="24"/>
          <w:szCs w:val="24"/>
          <w:rtl w:val="0"/>
          <w:lang w:val="en-US"/>
        </w:rPr>
        <w:tab/>
      </w:r>
      <w:r>
        <w:rPr>
          <w:rFonts w:ascii="Times New Roman" w:hAnsi="Times New Roman"/>
          <w:b/>
          <w:bCs/>
          <w:sz w:val="24"/>
          <w:szCs w:val="24"/>
          <w:rtl w:val="0"/>
        </w:rPr>
        <w:t>(10 marks)</w:t>
      </w:r>
    </w:p>
    <w:p w14:paraId="6734A74D">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p>
    <w:p w14:paraId="3D0E792A">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sz w:val="24"/>
          <w:szCs w:val="24"/>
          <w:rtl w:val="0"/>
          <w:lang w:val="en-US"/>
        </w:rPr>
      </w:pPr>
      <w:r>
        <w:rPr>
          <w:rFonts w:ascii="Times New Roman" w:hAnsi="Times New Roman"/>
          <w:b/>
          <w:bCs/>
          <w:sz w:val="24"/>
          <w:szCs w:val="24"/>
          <w:rtl w:val="0"/>
          <w:lang w:val="de-DE"/>
        </w:rPr>
        <w:t xml:space="preserve">(b)  </w:t>
      </w:r>
      <w:r>
        <w:rPr>
          <w:rFonts w:ascii="Times New Roman" w:hAnsi="Times New Roman"/>
          <w:sz w:val="24"/>
          <w:szCs w:val="24"/>
          <w:rtl w:val="0"/>
          <w:lang w:val="en-US"/>
        </w:rPr>
        <w:t xml:space="preserve">Assess whether Parliament's motion affirming the President's authority over all State officers and the President's reliance on Article 132(4)(a) can be legally sustained. Your answer should examine the limits of executive authority under the Constitution, the doctrine of constitutional supremacy under Article 2, and the proper role of Parliament in relation to the other arms of government. </w:t>
      </w:r>
    </w:p>
    <w:p w14:paraId="377820B4">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r>
      <w:r>
        <w:rPr>
          <w:rFonts w:ascii="Times New Roman" w:hAnsi="Times New Roman"/>
          <w:sz w:val="24"/>
          <w:szCs w:val="24"/>
          <w:rtl w:val="0"/>
          <w:lang w:val="en-US"/>
        </w:rPr>
        <w:t xml:space="preserve"> </w:t>
      </w:r>
      <w:r>
        <w:rPr>
          <w:rFonts w:ascii="Times New Roman" w:hAnsi="Times New Roman"/>
          <w:b/>
          <w:bCs/>
          <w:sz w:val="24"/>
          <w:szCs w:val="24"/>
          <w:rtl w:val="0"/>
        </w:rPr>
        <w:t>(10 marks)</w:t>
      </w:r>
    </w:p>
    <w:p w14:paraId="47F5EA5E">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p>
    <w:p w14:paraId="15715633">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b/>
          <w:bCs/>
          <w:sz w:val="24"/>
          <w:szCs w:val="24"/>
          <w:rtl w:val="0"/>
          <w:lang w:val="de-DE"/>
        </w:rPr>
        <w:t xml:space="preserve">(c)  </w:t>
      </w:r>
      <w:r>
        <w:rPr>
          <w:rFonts w:ascii="Times New Roman" w:hAnsi="Times New Roman"/>
          <w:sz w:val="24"/>
          <w:szCs w:val="24"/>
          <w:rtl w:val="0"/>
          <w:lang w:val="en-US"/>
        </w:rPr>
        <w:t>Critically evaluate the constitutional validity of the amendment abolishing the position of Deputy President. In your answer, address the procedure for amending the Constitution under Articles 255</w:t>
      </w:r>
      <w:r>
        <w:rPr>
          <w:rFonts w:hint="default" w:ascii="Times New Roman" w:hAnsi="Times New Roman"/>
          <w:sz w:val="24"/>
          <w:szCs w:val="24"/>
          <w:rtl w:val="0"/>
        </w:rPr>
        <w:t>–</w:t>
      </w:r>
      <w:r>
        <w:rPr>
          <w:rFonts w:ascii="Times New Roman" w:hAnsi="Times New Roman"/>
          <w:sz w:val="24"/>
          <w:szCs w:val="24"/>
          <w:rtl w:val="0"/>
        </w:rPr>
        <w:t>257</w:t>
      </w:r>
      <w:r>
        <w:rPr>
          <w:rFonts w:ascii="Times New Roman" w:hAnsi="Times New Roman"/>
          <w:sz w:val="24"/>
          <w:szCs w:val="24"/>
          <w:rtl w:val="0"/>
          <w:lang w:val="en-US"/>
        </w:rPr>
        <w:t xml:space="preserve"> and the Kenyan jurisprudence on Constitutional amendment as set out in the BBI Case, and whether the amendment required a referendum.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r>
      <w:r>
        <w:rPr>
          <w:rFonts w:ascii="Times New Roman" w:hAnsi="Times New Roman"/>
          <w:sz w:val="24"/>
          <w:szCs w:val="24"/>
          <w:rtl w:val="0"/>
          <w:lang w:val="en-US"/>
        </w:rPr>
        <w:t xml:space="preserve"> </w:t>
      </w:r>
      <w:r>
        <w:rPr>
          <w:rFonts w:ascii="Times New Roman" w:hAnsi="Times New Roman"/>
          <w:b/>
          <w:bCs/>
          <w:sz w:val="24"/>
          <w:szCs w:val="24"/>
          <w:rtl w:val="0"/>
        </w:rPr>
        <w:t>(10 marks)</w:t>
      </w:r>
    </w:p>
    <w:p w14:paraId="2C93FD5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12F42C6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45176075">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0B54A1BC">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539903CF">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b/>
          <w:bCs/>
          <w:sz w:val="24"/>
          <w:szCs w:val="24"/>
          <w:rtl w:val="0"/>
          <w:lang w:val="en-US"/>
        </w:rPr>
        <w:t>QUESTION TWO  [20 MARKS]</w:t>
      </w:r>
    </w:p>
    <w:p w14:paraId="43EB4176">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268C446A">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i/>
          <w:iCs/>
          <w:sz w:val="24"/>
          <w:szCs w:val="24"/>
          <w:rtl w:val="0"/>
          <w:lang w:val="en-US"/>
        </w:rPr>
        <w:t xml:space="preserve">"Kenya's constitutional history is a story of power concentrated, abused, and ultimately surrendered to the people. The Constitution of 2010 did not emerge in a vacuum </w:t>
      </w:r>
      <w:r>
        <w:rPr>
          <w:rFonts w:hint="default" w:ascii="Times New Roman" w:hAnsi="Times New Roman"/>
          <w:i/>
          <w:iCs/>
          <w:sz w:val="24"/>
          <w:szCs w:val="24"/>
          <w:rtl w:val="0"/>
          <w:lang w:val="en-US"/>
        </w:rPr>
        <w:t xml:space="preserve">— </w:t>
      </w:r>
      <w:r>
        <w:rPr>
          <w:rFonts w:ascii="Times New Roman" w:hAnsi="Times New Roman"/>
          <w:i/>
          <w:iCs/>
          <w:sz w:val="24"/>
          <w:szCs w:val="24"/>
          <w:rtl w:val="0"/>
          <w:lang w:val="en-US"/>
        </w:rPr>
        <w:t>it was born of struggle, blood and a collective national determination to build a new constitutional order."</w:t>
      </w:r>
    </w:p>
    <w:p w14:paraId="17C19A4D">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i/>
          <w:iCs/>
          <w:sz w:val="24"/>
          <w:szCs w:val="24"/>
          <w:rtl w:val="0"/>
          <w:lang w:val="en-US"/>
        </w:rPr>
        <w:t>(Adapted from Mbondenyi &amp; Ambani, The New Constitutional Law of Kenya, 2012)</w:t>
      </w:r>
    </w:p>
    <w:p w14:paraId="2461028F">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outline w:val="0"/>
          <w:color w:val="FF7E79"/>
        </w:rPr>
      </w:pPr>
    </w:p>
    <w:p w14:paraId="5FDA14CA">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b/>
          <w:bCs/>
          <w:sz w:val="24"/>
          <w:szCs w:val="24"/>
          <w:rtl w:val="0"/>
          <w:lang w:val="de-DE"/>
        </w:rPr>
        <w:t xml:space="preserve">(a)  </w:t>
      </w:r>
      <w:r>
        <w:rPr>
          <w:rFonts w:ascii="Times New Roman" w:hAnsi="Times New Roman"/>
          <w:sz w:val="24"/>
          <w:szCs w:val="24"/>
          <w:rtl w:val="0"/>
          <w:lang w:val="en-US"/>
        </w:rPr>
        <w:t xml:space="preserve">Trace Kenya's constitutional journey from the Independence Constitution of 1963 to the promulgation of the Constitution of Kenya, 2010. In your answer, identify the key constitutional failures of the post-independence era and discuss the major reform processes </w:t>
      </w:r>
      <w:r>
        <w:rPr>
          <w:rFonts w:hint="default" w:ascii="Times New Roman" w:hAnsi="Times New Roman"/>
          <w:sz w:val="24"/>
          <w:szCs w:val="24"/>
          <w:rtl w:val="0"/>
          <w:lang w:val="en-US"/>
        </w:rPr>
        <w:t xml:space="preserve">— </w:t>
      </w:r>
      <w:r>
        <w:rPr>
          <w:rFonts w:ascii="Times New Roman" w:hAnsi="Times New Roman"/>
          <w:sz w:val="24"/>
          <w:szCs w:val="24"/>
          <w:rtl w:val="0"/>
          <w:lang w:val="en-US"/>
        </w:rPr>
        <w:t xml:space="preserve">including the CKRC, the Committee of Experts, and the Agenda 4 process </w:t>
      </w:r>
      <w:r>
        <w:rPr>
          <w:rFonts w:hint="default" w:ascii="Times New Roman" w:hAnsi="Times New Roman"/>
          <w:sz w:val="24"/>
          <w:szCs w:val="24"/>
          <w:rtl w:val="0"/>
          <w:lang w:val="en-US"/>
        </w:rPr>
        <w:t xml:space="preserve">— </w:t>
      </w:r>
      <w:r>
        <w:rPr>
          <w:rFonts w:ascii="Times New Roman" w:hAnsi="Times New Roman"/>
          <w:sz w:val="24"/>
          <w:szCs w:val="24"/>
          <w:rtl w:val="0"/>
          <w:lang w:val="en-US"/>
        </w:rPr>
        <w:t xml:space="preserve">that ultimately led to the 2010 Constitution.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xml:space="preserve">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r>
      <w:r>
        <w:rPr>
          <w:rFonts w:ascii="Times New Roman" w:hAnsi="Times New Roman"/>
          <w:b/>
          <w:bCs/>
          <w:sz w:val="24"/>
          <w:szCs w:val="24"/>
          <w:rtl w:val="0"/>
        </w:rPr>
        <w:t>(10 marks)</w:t>
      </w:r>
    </w:p>
    <w:p w14:paraId="6D917A8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42AAD30F">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b/>
          <w:bCs/>
          <w:sz w:val="24"/>
          <w:szCs w:val="24"/>
          <w:rtl w:val="0"/>
          <w:lang w:val="de-DE"/>
        </w:rPr>
        <w:t xml:space="preserve">(b)  </w:t>
      </w:r>
      <w:r>
        <w:rPr>
          <w:rFonts w:ascii="Times New Roman" w:hAnsi="Times New Roman"/>
          <w:sz w:val="24"/>
          <w:szCs w:val="24"/>
          <w:rtl w:val="0"/>
          <w:lang w:val="en-US"/>
        </w:rPr>
        <w:t xml:space="preserve">Devolution has been described as one of the most transformative features of the Constitution of Kenya, 2010. Examine the theoretical underpinnings of devolution, the legal framework for the devolved system of government under Chapter 11 of the Constitution, and the relationship between county governments and the national government, with specific reference to the principles of cooperative and consultative government under Articles 6(2) and 189.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r>
      <w:r>
        <w:rPr>
          <w:rFonts w:ascii="Times New Roman" w:hAnsi="Times New Roman"/>
          <w:sz w:val="24"/>
          <w:szCs w:val="24"/>
          <w:rtl w:val="0"/>
          <w:lang w:val="en-US"/>
        </w:rPr>
        <w:t xml:space="preserve"> </w:t>
      </w:r>
      <w:r>
        <w:rPr>
          <w:rFonts w:ascii="Times New Roman" w:hAnsi="Times New Roman"/>
          <w:b/>
          <w:bCs/>
          <w:sz w:val="24"/>
          <w:szCs w:val="24"/>
          <w:rtl w:val="0"/>
        </w:rPr>
        <w:t>(10 marks)</w:t>
      </w:r>
    </w:p>
    <w:p w14:paraId="317B5119">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2CFD8346">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6202546A">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14079DD1">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b/>
          <w:bCs/>
          <w:sz w:val="24"/>
          <w:szCs w:val="24"/>
          <w:rtl w:val="0"/>
          <w:lang w:val="en-US"/>
        </w:rPr>
        <w:t>QUESTION THREE [20 MARKS]</w:t>
      </w:r>
    </w:p>
    <w:p w14:paraId="771F4709">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i/>
          <w:iCs/>
          <w:sz w:val="24"/>
          <w:szCs w:val="24"/>
          <w:rtl w:val="0"/>
          <w:lang w:val="en-US"/>
        </w:rPr>
        <w:t xml:space="preserve">"The Bill of Rights is not a mere appendage to Kenya's Constitution </w:t>
      </w:r>
      <w:r>
        <w:rPr>
          <w:rFonts w:hint="default" w:ascii="Times New Roman" w:hAnsi="Times New Roman"/>
          <w:i/>
          <w:iCs/>
          <w:sz w:val="24"/>
          <w:szCs w:val="24"/>
          <w:rtl w:val="0"/>
          <w:lang w:val="en-US"/>
        </w:rPr>
        <w:t xml:space="preserve">— </w:t>
      </w:r>
      <w:r>
        <w:rPr>
          <w:rFonts w:ascii="Times New Roman" w:hAnsi="Times New Roman"/>
          <w:i/>
          <w:iCs/>
          <w:sz w:val="24"/>
          <w:szCs w:val="24"/>
          <w:rtl w:val="0"/>
          <w:lang w:val="en-US"/>
        </w:rPr>
        <w:t>it is the foundation upon which the entire constitutional architecture rests. Courts must interpret it generously, purposively, and in a manner that advances rather than diminishes the rights it guarantees."</w:t>
      </w:r>
    </w:p>
    <w:p w14:paraId="7A6CE08F">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r>
        <w:rPr>
          <w:rFonts w:ascii="Times New Roman" w:hAnsi="Times New Roman"/>
          <w:i/>
          <w:iCs/>
          <w:sz w:val="24"/>
          <w:szCs w:val="24"/>
          <w:rtl w:val="0"/>
          <w:lang w:val="en-US"/>
        </w:rPr>
        <w:t>(Adapted from Eric Gitari v NGO Co-ordination Board &amp; 4 others [2015] eKLR)</w:t>
      </w:r>
    </w:p>
    <w:p w14:paraId="5B4E27CA">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6F595563">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jc w:val="both"/>
        <w:rPr>
          <w:rFonts w:ascii="Times New Roman" w:hAnsi="Times New Roman" w:eastAsia="Times New Roman" w:cs="Times New Roman"/>
        </w:rPr>
      </w:pPr>
      <w:r>
        <w:rPr>
          <w:rFonts w:ascii="Times New Roman" w:hAnsi="Times New Roman"/>
          <w:b/>
          <w:bCs/>
          <w:sz w:val="24"/>
          <w:szCs w:val="24"/>
          <w:rtl w:val="0"/>
          <w:lang w:val="de-DE"/>
        </w:rPr>
        <w:t xml:space="preserve">(a)  </w:t>
      </w:r>
      <w:r>
        <w:rPr>
          <w:rFonts w:ascii="Times New Roman" w:hAnsi="Times New Roman"/>
          <w:sz w:val="24"/>
          <w:szCs w:val="24"/>
          <w:rtl w:val="0"/>
          <w:lang w:val="en-US"/>
        </w:rPr>
        <w:t xml:space="preserve">With reference to the theories and approaches to constitutional interpretation developed by courts in Kenya and the East African region, discuss how the courts should approach the interpretation of the Bill of Rights under the Constitution of Kenya, 2010. In your answer, examine the approaches in </w:t>
      </w:r>
      <w:r>
        <w:rPr>
          <w:rFonts w:ascii="Times New Roman" w:hAnsi="Times New Roman"/>
          <w:i/>
          <w:iCs/>
          <w:sz w:val="24"/>
          <w:szCs w:val="24"/>
          <w:rtl w:val="0"/>
          <w:lang/>
        </w:rPr>
        <w:t>Republic v El Mann [1969]</w:t>
      </w:r>
      <w:r>
        <w:rPr>
          <w:rFonts w:ascii="Times New Roman" w:hAnsi="Times New Roman"/>
          <w:sz w:val="24"/>
          <w:szCs w:val="24"/>
          <w:rtl w:val="0"/>
        </w:rPr>
        <w:t xml:space="preserve">, </w:t>
      </w:r>
      <w:r>
        <w:rPr>
          <w:rFonts w:ascii="Times New Roman" w:hAnsi="Times New Roman"/>
          <w:i/>
          <w:iCs/>
          <w:sz w:val="24"/>
          <w:szCs w:val="24"/>
          <w:rtl w:val="0"/>
          <w:lang w:val="en-US"/>
        </w:rPr>
        <w:t>Ndyanabo v Attorney General [2001]</w:t>
      </w:r>
      <w:r>
        <w:rPr>
          <w:rFonts w:ascii="Times New Roman" w:hAnsi="Times New Roman"/>
          <w:sz w:val="24"/>
          <w:szCs w:val="24"/>
          <w:rtl w:val="0"/>
          <w:lang w:val="en-US"/>
        </w:rPr>
        <w:t xml:space="preserve">, and </w:t>
      </w:r>
      <w:r>
        <w:rPr>
          <w:rFonts w:ascii="Times New Roman" w:hAnsi="Times New Roman"/>
          <w:i/>
          <w:iCs/>
          <w:sz w:val="24"/>
          <w:szCs w:val="24"/>
          <w:rtl w:val="0"/>
          <w:lang w:val="en-US"/>
        </w:rPr>
        <w:t>Njoya v Attorney General [2004]</w:t>
      </w:r>
      <w:r>
        <w:rPr>
          <w:rFonts w:ascii="Times New Roman" w:hAnsi="Times New Roman"/>
          <w:sz w:val="24"/>
          <w:szCs w:val="24"/>
          <w:rtl w:val="0"/>
          <w:lang w:val="en-US"/>
        </w:rPr>
        <w:t xml:space="preserve">, and the interpretive framework prescribed under Articles 20 and 259 of the Constitution.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t/>
      </w:r>
      <w:r>
        <w:rPr>
          <w:rFonts w:hint="default" w:ascii="Times New Roman" w:hAnsi="Times New Roman"/>
          <w:sz w:val="24"/>
          <w:szCs w:val="24"/>
          <w:rtl w:val="0"/>
          <w:lang w:val="en-US"/>
        </w:rPr>
        <w:tab/>
      </w:r>
      <w:r>
        <w:rPr>
          <w:rFonts w:ascii="Times New Roman" w:hAnsi="Times New Roman"/>
          <w:b/>
          <w:bCs/>
          <w:sz w:val="24"/>
          <w:szCs w:val="24"/>
          <w:rtl w:val="0"/>
        </w:rPr>
        <w:t>(10 marks)</w:t>
      </w:r>
    </w:p>
    <w:p w14:paraId="126B9F9F">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rPr>
          <w:rFonts w:ascii="Times New Roman" w:hAnsi="Times New Roman" w:eastAsia="Times New Roman" w:cs="Times New Roman"/>
        </w:rPr>
      </w:pPr>
    </w:p>
    <w:p w14:paraId="3AEAC85C">
      <w:pPr>
        <w:pStyle w:val="7"/>
        <w:framePr w:hRule="auto" w:wrap="auto" w:vAnchor="margin" w:hAnchor="text" w:yAlign="inline"/>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88" w:lineRule="auto"/>
      </w:pPr>
      <w:r>
        <w:rPr>
          <w:rFonts w:ascii="Times New Roman" w:hAnsi="Times New Roman"/>
          <w:b/>
          <w:bCs/>
          <w:sz w:val="24"/>
          <w:szCs w:val="24"/>
          <w:rtl w:val="0"/>
          <w:lang w:val="de-DE"/>
        </w:rPr>
        <w:t xml:space="preserve">(b)  </w:t>
      </w:r>
      <w:r>
        <w:rPr>
          <w:rFonts w:ascii="Times New Roman" w:hAnsi="Times New Roman"/>
          <w:sz w:val="24"/>
          <w:szCs w:val="24"/>
          <w:rtl w:val="0"/>
          <w:lang w:val="en-US"/>
        </w:rPr>
        <w:t xml:space="preserve">The Constitution of Kenya, 2010 recognises both the vertical and horizontal application of Bill of Rights obligations. With reference to the decisions in </w:t>
      </w:r>
      <w:r>
        <w:rPr>
          <w:rFonts w:ascii="Times New Roman" w:hAnsi="Times New Roman"/>
          <w:i/>
          <w:iCs/>
          <w:sz w:val="24"/>
          <w:szCs w:val="24"/>
          <w:rtl w:val="0"/>
          <w:lang w:val="en-US"/>
        </w:rPr>
        <w:t>Satrose Ayuma v Registered Trustees of Kenya Railways [2011]</w:t>
      </w:r>
      <w:r>
        <w:rPr>
          <w:rFonts w:ascii="Times New Roman" w:hAnsi="Times New Roman"/>
          <w:sz w:val="24"/>
          <w:szCs w:val="24"/>
          <w:rtl w:val="0"/>
          <w:lang w:val="en-US"/>
        </w:rPr>
        <w:t xml:space="preserve"> and </w:t>
      </w:r>
      <w:r>
        <w:rPr>
          <w:rFonts w:ascii="Times New Roman" w:hAnsi="Times New Roman"/>
          <w:i/>
          <w:iCs/>
          <w:sz w:val="24"/>
          <w:szCs w:val="24"/>
          <w:rtl w:val="0"/>
        </w:rPr>
        <w:t>Rose Wangui Mambo v Limuru Country Club [2014]</w:t>
      </w:r>
      <w:r>
        <w:rPr>
          <w:rFonts w:ascii="Times New Roman" w:hAnsi="Times New Roman"/>
          <w:sz w:val="24"/>
          <w:szCs w:val="24"/>
          <w:rtl w:val="0"/>
          <w:lang w:val="en-US"/>
        </w:rPr>
        <w:t>, examine the scope of horizontal application of constitutional rights in Kenya and assess the extent to which the courts have given practical effect to this principle.</w:t>
      </w:r>
      <w:r>
        <w:rPr>
          <w:rFonts w:ascii="Times New Roman" w:hAnsi="Times New Roman"/>
          <w:b/>
          <w:bCs/>
          <w:sz w:val="24"/>
          <w:szCs w:val="24"/>
          <w:rtl w:val="0"/>
        </w:rPr>
        <w:t xml:space="preserve"> </w:t>
      </w:r>
      <w:r>
        <w:rPr>
          <w:rFonts w:hint="default" w:ascii="Times New Roman" w:hAnsi="Times New Roman"/>
          <w:b/>
          <w:bCs/>
          <w:sz w:val="24"/>
          <w:szCs w:val="24"/>
          <w:rtl w:val="0"/>
          <w:lang w:val="en-US"/>
        </w:rPr>
        <w:tab/>
        <w:t/>
      </w:r>
      <w:r>
        <w:rPr>
          <w:rFonts w:hint="default" w:ascii="Times New Roman" w:hAnsi="Times New Roman"/>
          <w:b/>
          <w:bCs/>
          <w:sz w:val="24"/>
          <w:szCs w:val="24"/>
          <w:rtl w:val="0"/>
          <w:lang w:val="en-US"/>
        </w:rPr>
        <w:tab/>
        <w:t/>
      </w:r>
      <w:r>
        <w:rPr>
          <w:rFonts w:hint="default" w:ascii="Times New Roman" w:hAnsi="Times New Roman"/>
          <w:b/>
          <w:bCs/>
          <w:sz w:val="24"/>
          <w:szCs w:val="24"/>
          <w:rtl w:val="0"/>
          <w:lang w:val="en-US"/>
        </w:rPr>
        <w:tab/>
        <w:t/>
      </w:r>
      <w:r>
        <w:rPr>
          <w:rFonts w:hint="default" w:ascii="Times New Roman" w:hAnsi="Times New Roman"/>
          <w:b/>
          <w:bCs/>
          <w:sz w:val="24"/>
          <w:szCs w:val="24"/>
          <w:rtl w:val="0"/>
          <w:lang w:val="en-US"/>
        </w:rPr>
        <w:tab/>
        <w:t/>
      </w:r>
      <w:r>
        <w:rPr>
          <w:rFonts w:hint="default" w:ascii="Times New Roman" w:hAnsi="Times New Roman"/>
          <w:b/>
          <w:bCs/>
          <w:sz w:val="24"/>
          <w:szCs w:val="24"/>
          <w:rtl w:val="0"/>
          <w:lang w:val="en-US"/>
        </w:rPr>
        <w:tab/>
        <w:t/>
      </w:r>
      <w:r>
        <w:rPr>
          <w:rFonts w:hint="default" w:ascii="Times New Roman" w:hAnsi="Times New Roman"/>
          <w:b/>
          <w:bCs/>
          <w:sz w:val="24"/>
          <w:szCs w:val="24"/>
          <w:rtl w:val="0"/>
          <w:lang w:val="en-US"/>
        </w:rPr>
        <w:tab/>
        <w:t/>
      </w:r>
      <w:r>
        <w:rPr>
          <w:rFonts w:hint="default" w:ascii="Times New Roman" w:hAnsi="Times New Roman"/>
          <w:b/>
          <w:bCs/>
          <w:sz w:val="24"/>
          <w:szCs w:val="24"/>
          <w:rtl w:val="0"/>
          <w:lang w:val="en-US"/>
        </w:rPr>
        <w:tab/>
      </w:r>
      <w:r>
        <w:rPr>
          <w:rFonts w:ascii="Times New Roman" w:hAnsi="Times New Roman"/>
          <w:b/>
          <w:bCs/>
          <w:sz w:val="24"/>
          <w:szCs w:val="24"/>
          <w:rtl w:val="0"/>
          <w:lang w:val="en-US"/>
        </w:rPr>
        <w:t>(10 Marks)</w:t>
      </w:r>
      <w:bookmarkStart w:id="0" w:name="_GoBack"/>
      <w:bookmarkEnd w:id="0"/>
    </w:p>
    <w:sectPr>
      <w:headerReference r:id="rId5" w:type="default"/>
      <w:footerReference r:id="rId6" w:type="default"/>
      <w:pgSz w:w="11900" w:h="16840"/>
      <w:pgMar w:top="1080" w:right="1080" w:bottom="1080" w:left="108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roman"/>
    <w:pitch w:val="default"/>
    <w:sig w:usb0="FFFFFFFF" w:usb1="E9FFFFFF" w:usb2="0000003F" w:usb3="00000000" w:csb0="603F01FF" w:csb1="FFFF0000"/>
  </w:font>
  <w:font w:name="Helvetica Neu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88B24">
    <w:pPr>
      <w:pStyle w:val="6"/>
      <w:framePr w:hRule="auto" w:wrap="auto" w:vAnchor="margin" w:hAnchor="text" w:yAlign="inline"/>
      <w:bidi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DA440">
    <w:pPr>
      <w:pStyle w:val="6"/>
      <w:framePr w:hRule="auto" w:wrap="auto" w:vAnchor="margin" w:hAnchor="text" w:yAlign="inline"/>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tentative="1">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entative="1">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87" w:hanging="3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entative="1">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entative="1">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entative="1">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s>
          <w:ind w:left="4347" w:hanging="3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entative="1">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640"/>
            <w:tab w:val="left" w:pos="9360"/>
          </w:tabs>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entative="1">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s>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entative="1">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640"/>
            <w:tab w:val="left" w:pos="9360"/>
          </w:tabs>
          <w:ind w:left="6507" w:hanging="319"/>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0"/>
  <w:noLineBreaksAfter w:lang="zh-CN" w:val="‘“(〔[{〈《「『【⦅〘〖«〝︵︷︹︻︽︿﹁﹃﹇﹙﹛﹝｢"/>
  <w:noLineBreaksBefore w:lang="zh-CN" w:val="’”)〕]}〉"/>
  <w:footnotePr>
    <w:footnote w:id="0"/>
    <w:footnote w:id="1"/>
  </w:footnotePr>
  <w:endnotePr>
    <w:endnote w:id="0"/>
    <w:endnote w:id="1"/>
  </w:endnotePr>
  <w:compat>
    <w:compatSetting w:name="compatibilityMode" w:uri="http://schemas.microsoft.com/office/word" w:val="15"/>
  </w:compat>
  <w:rsids>
    <w:rsidRoot w:val="00000000"/>
    <w:rsid w:val="2C9149C9"/>
    <w:rsid w:val="6EAA61E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spacing w:before="0" w:beforeAutospacing="0" w:after="0" w:afterAutospacing="0" w:line="240" w:lineRule="auto"/>
      <w:ind w:left="0" w:right="0" w:firstLine="0"/>
      <w:jc w:val="left"/>
      <w:outlineLvl w:val="9"/>
    </w:pPr>
    <w:rPr>
      <w:rFonts w:ascii="Times New Roman" w:hAnsi="Times New Roman" w:eastAsia="Arial Unicode MS" w:cs="Times New Roman"/>
      <w:color w:val="auto"/>
      <w:spacing w:val="0"/>
      <w:w w:val="100"/>
      <w:kern w:val="0"/>
      <w:position w:val="0"/>
      <w:sz w:val="24"/>
      <w:szCs w:val="24"/>
      <w:u w:val="none" w:color="auto"/>
      <w:vertAlign w:val="baseline"/>
      <w:lang w:val="en-US" w:eastAsia="en-US" w:bidi="ar-SA"/>
    </w:rPr>
  </w:style>
  <w:style w:type="character" w:default="1" w:styleId="2">
    <w:name w:val="Default Paragraph Font"/>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Hyperlink"/>
    <w:qFormat/>
    <w:uiPriority w:val="0"/>
    <w:rPr>
      <w:u w:val="single"/>
    </w:rPr>
  </w:style>
  <w:style w:type="table" w:customStyle="1" w:styleId="5">
    <w:name w:val="Table Normal1"/>
    <w:qFormat/>
    <w:uiPriority w:val="0"/>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6">
    <w:name w:val="Header &amp; Footer"/>
    <w:qFormat/>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7">
    <w:name w:val="Body"/>
    <w:qFormat/>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2"/>
      <w:szCs w:val="22"/>
      <w:u w:val="none" w:color="auto"/>
      <w:shd w:val="clear" w:color="auto" w:fill="auto"/>
      <w:vertAlign w:val="baseline"/>
    </w:rPr>
  </w:style>
  <w:style w:type="paragraph" w:customStyle="1" w:styleId="8">
    <w:name w:val="Default"/>
    <w:qFormat/>
    <w:uiPriority w:val="0"/>
    <w:pPr>
      <w:keepNext w:val="0"/>
      <w:keepLines w:val="0"/>
      <w:pageBreakBefore w:val="0"/>
      <w:framePr w:hRule="auto"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shd w:val="clear" w:color="auto" w:fill="auto"/>
      <w:vertAlign w:val="baseline"/>
      <w:lang w:val="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0" tIns="0" rIns="0" bIns="0" numCol="1" spcCol="38100" rtlCol="0" anchor="t" upright="0">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Pages>3</Pages>
  <Words>1153</Words>
  <Characters>6369</Characters>
  <TotalTime>1</TotalTime>
  <ScaleCrop>false</ScaleCrop>
  <LinksUpToDate>false</LinksUpToDate>
  <CharactersWithSpaces>7508</CharactersWithSpaces>
  <Application>WPS Office_12.1.0.25242_F1E327BC-269C-435d-A152-05C5408002CA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2026-04-26T23:14:40Z</dcterms:created>
  <dc:creator>hochieng</dc:creator>
  <cp:lastModifiedBy>hochieng</cp:lastModifiedBy>
  <dcterms:modified xsi:type="dcterms:W3CDTF">2026-04-26T23:16:13Z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eyJoZGlkIjoiZGM5NmZkODYyNDc1ZDUxNWM5ZjNhZjhjZWYxZDhkODYifQ==</vt:lpwstr>
  </property>
  <property fmtid="{D5CDD505-2E9C-101B-9397-08002B2CF9AE}" pid="3" name="KSOProductBuildVer">
    <vt:lpwstr>1033-12.1.0.25242</vt:lpwstr>
  </property>
  <property fmtid="{D5CDD505-2E9C-101B-9397-08002B2CF9AE}" pid="4" name="ICV">
    <vt:lpwstr>396B189D9BFB485AB928E4927867111D_13</vt:lpwstr>
  </property>
</Properties>
</file>